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FEB26" w14:textId="59407175" w:rsidR="00A40D82" w:rsidRPr="00B36387" w:rsidRDefault="00F219A0" w:rsidP="0061248F">
      <w:pPr>
        <w:spacing w:after="60" w:line="276" w:lineRule="auto"/>
        <w:jc w:val="center"/>
        <w:outlineLvl w:val="0"/>
        <w:rPr>
          <w:rFonts w:ascii="Open Sans Light" w:hAnsi="Open Sans Light" w:cs="Open Sans Light"/>
          <w:b/>
          <w:bCs/>
          <w:kern w:val="28"/>
          <w:sz w:val="32"/>
          <w:szCs w:val="32"/>
        </w:rPr>
      </w:pPr>
      <w:r w:rsidRPr="00B36387">
        <w:rPr>
          <w:rFonts w:ascii="Open Sans Light" w:hAnsi="Open Sans Light" w:cs="Open Sans Light"/>
          <w:b/>
          <w:bCs/>
          <w:noProof/>
          <w:kern w:val="28"/>
          <w:sz w:val="32"/>
          <w:szCs w:val="32"/>
        </w:rPr>
        <w:drawing>
          <wp:anchor distT="0" distB="0" distL="114300" distR="114300" simplePos="0" relativeHeight="251658240" behindDoc="0" locked="0" layoutInCell="1" allowOverlap="1" wp14:anchorId="3872F0A3" wp14:editId="7503487B">
            <wp:simplePos x="0" y="0"/>
            <wp:positionH relativeFrom="margin">
              <wp:align>right</wp:align>
            </wp:positionH>
            <wp:positionV relativeFrom="paragraph">
              <wp:posOffset>0</wp:posOffset>
            </wp:positionV>
            <wp:extent cx="5760720" cy="594995"/>
            <wp:effectExtent l="0" t="0" r="0" b="0"/>
            <wp:wrapSquare wrapText="left"/>
            <wp:docPr id="1" name="Obraz 1" descr="Logotypy FENIKS, RP, UE i NFOŚiGW">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y FENIKS, RP, UE i NFOŚiGW">
                      <a:extLst>
                        <a:ext uri="{C183D7F6-B498-43B3-948B-1728B52AA6E4}">
                          <adec:decorative xmlns:adec="http://schemas.microsoft.com/office/drawing/2017/decorative" val="0"/>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00A40D82" w:rsidRPr="00B36387">
        <w:rPr>
          <w:rFonts w:ascii="Open Sans Light" w:hAnsi="Open Sans Light" w:cs="Open Sans Light"/>
          <w:b/>
          <w:bCs/>
          <w:kern w:val="28"/>
          <w:sz w:val="32"/>
          <w:szCs w:val="32"/>
        </w:rPr>
        <w:t>Lista sprawdzająca</w:t>
      </w:r>
    </w:p>
    <w:p w14:paraId="5D3D0CCF" w14:textId="77777777" w:rsidR="00A40D82" w:rsidRPr="00B36387" w:rsidRDefault="00A40D82" w:rsidP="0061248F">
      <w:pPr>
        <w:spacing w:after="60" w:line="276" w:lineRule="auto"/>
        <w:jc w:val="center"/>
        <w:outlineLvl w:val="0"/>
        <w:rPr>
          <w:rFonts w:ascii="Open Sans Light" w:hAnsi="Open Sans Light" w:cs="Open Sans Light"/>
          <w:b/>
          <w:bCs/>
          <w:kern w:val="28"/>
          <w:sz w:val="32"/>
          <w:szCs w:val="32"/>
        </w:rPr>
      </w:pPr>
      <w:r w:rsidRPr="00B36387">
        <w:rPr>
          <w:rFonts w:ascii="Open Sans Light" w:hAnsi="Open Sans Light" w:cs="Open Sans Light"/>
          <w:b/>
          <w:bCs/>
          <w:kern w:val="28"/>
          <w:sz w:val="32"/>
          <w:szCs w:val="32"/>
        </w:rPr>
        <w:t xml:space="preserve">projektu zgłoszonego do dofinansowania w ramach </w:t>
      </w:r>
    </w:p>
    <w:p w14:paraId="0A2152A5" w14:textId="77777777" w:rsidR="00A40D82" w:rsidRPr="00B36387" w:rsidRDefault="00A40D82" w:rsidP="0061248F">
      <w:pPr>
        <w:spacing w:line="276" w:lineRule="auto"/>
        <w:jc w:val="center"/>
        <w:rPr>
          <w:rFonts w:ascii="Open Sans Light" w:hAnsi="Open Sans Light" w:cs="Open Sans Light"/>
        </w:rPr>
      </w:pPr>
      <w:r w:rsidRPr="00B36387">
        <w:rPr>
          <w:rFonts w:ascii="Open Sans Light" w:hAnsi="Open Sans Light" w:cs="Open Sans Light"/>
          <w:b/>
          <w:bCs/>
          <w:kern w:val="28"/>
          <w:sz w:val="32"/>
          <w:szCs w:val="32"/>
        </w:rPr>
        <w:t>PROGRAM FUNDUSZE EUROPEJSKIE NA INFRASTRUKTURĘ, KLIMAT, ŚRODOWISKO 2021-2027 (</w:t>
      </w:r>
      <w:proofErr w:type="spellStart"/>
      <w:r w:rsidRPr="00B36387">
        <w:rPr>
          <w:rFonts w:ascii="Open Sans Light" w:hAnsi="Open Sans Light" w:cs="Open Sans Light"/>
          <w:b/>
          <w:bCs/>
          <w:kern w:val="28"/>
          <w:sz w:val="32"/>
          <w:szCs w:val="32"/>
        </w:rPr>
        <w:t>FEnIKS</w:t>
      </w:r>
      <w:proofErr w:type="spellEnd"/>
      <w:r w:rsidRPr="00B36387">
        <w:rPr>
          <w:rFonts w:ascii="Open Sans Light" w:hAnsi="Open Sans Light" w:cs="Open Sans Light"/>
          <w:b/>
          <w:bCs/>
          <w:kern w:val="28"/>
          <w:sz w:val="32"/>
          <w:szCs w:val="32"/>
        </w:rPr>
        <w:t>)</w:t>
      </w:r>
    </w:p>
    <w:p w14:paraId="7EF33073" w14:textId="65645EEF" w:rsidR="000912AE" w:rsidRPr="00B36387" w:rsidRDefault="00A14095" w:rsidP="0061248F">
      <w:pPr>
        <w:shd w:val="clear" w:color="auto" w:fill="D9D9D9" w:themeFill="background1" w:themeFillShade="D9"/>
        <w:spacing w:after="120" w:line="276" w:lineRule="auto"/>
        <w:jc w:val="center"/>
        <w:rPr>
          <w:rFonts w:ascii="Open Sans Light" w:hAnsi="Open Sans Light" w:cs="Open Sans Light"/>
          <w:b/>
          <w:sz w:val="32"/>
          <w:szCs w:val="32"/>
        </w:rPr>
      </w:pPr>
      <w:r w:rsidRPr="00B36387">
        <w:rPr>
          <w:rFonts w:ascii="Open Sans Light" w:hAnsi="Open Sans Light" w:cs="Open Sans Light"/>
          <w:b/>
          <w:sz w:val="32"/>
          <w:szCs w:val="32"/>
        </w:rPr>
        <w:t>ETAP 2 oceny</w:t>
      </w:r>
    </w:p>
    <w:p w14:paraId="7A766F59" w14:textId="679189BA" w:rsidR="000C2C51" w:rsidRPr="00B36387" w:rsidRDefault="000C2C51" w:rsidP="0061248F">
      <w:pPr>
        <w:shd w:val="clear" w:color="auto" w:fill="D9D9D9" w:themeFill="background1" w:themeFillShade="D9"/>
        <w:tabs>
          <w:tab w:val="num" w:pos="720"/>
        </w:tabs>
        <w:spacing w:after="120" w:line="276" w:lineRule="auto"/>
        <w:jc w:val="center"/>
        <w:rPr>
          <w:rFonts w:ascii="Open Sans Light" w:hAnsi="Open Sans Light" w:cs="Open Sans Light"/>
          <w:b/>
          <w:sz w:val="32"/>
          <w:szCs w:val="32"/>
        </w:rPr>
      </w:pPr>
      <w:r w:rsidRPr="00B36387">
        <w:rPr>
          <w:rFonts w:ascii="Open Sans Light" w:hAnsi="Open Sans Light" w:cs="Open Sans Light"/>
          <w:b/>
          <w:sz w:val="32"/>
          <w:szCs w:val="32"/>
        </w:rPr>
        <w:t>aspekty techniczne oraz rozwiązania instytucjonalne,                 oraz formalno-prawne</w:t>
      </w:r>
    </w:p>
    <w:p w14:paraId="5296A23D" w14:textId="73756A28" w:rsidR="000912AE" w:rsidRPr="00B36387" w:rsidRDefault="00A14095" w:rsidP="0061248F">
      <w:pPr>
        <w:tabs>
          <w:tab w:val="num" w:pos="720"/>
        </w:tabs>
        <w:spacing w:after="120" w:line="276" w:lineRule="auto"/>
        <w:rPr>
          <w:rFonts w:ascii="Open Sans Light" w:hAnsi="Open Sans Light" w:cs="Open Sans Light"/>
          <w:b/>
          <w:bCs/>
          <w:sz w:val="22"/>
          <w:szCs w:val="22"/>
        </w:rPr>
      </w:pPr>
      <w:r w:rsidRPr="00B36387">
        <w:rPr>
          <w:rFonts w:ascii="Open Sans Light" w:hAnsi="Open Sans Light" w:cs="Open Sans Light"/>
          <w:b/>
          <w:bCs/>
          <w:sz w:val="22"/>
          <w:szCs w:val="22"/>
        </w:rPr>
        <w:t>3</w:t>
      </w:r>
      <w:r w:rsidR="00AD04CC" w:rsidRPr="00B36387">
        <w:rPr>
          <w:rFonts w:ascii="Open Sans Light" w:hAnsi="Open Sans Light" w:cs="Open Sans Light"/>
          <w:b/>
          <w:bCs/>
          <w:sz w:val="22"/>
          <w:szCs w:val="22"/>
        </w:rPr>
        <w:t xml:space="preserve">. </w:t>
      </w:r>
      <w:r w:rsidRPr="00B36387">
        <w:rPr>
          <w:rFonts w:ascii="Open Sans Light" w:hAnsi="Open Sans Light" w:cs="Open Sans Light"/>
          <w:b/>
          <w:bCs/>
          <w:sz w:val="22"/>
          <w:szCs w:val="22"/>
        </w:rPr>
        <w:t>Kryteria obligatoryjne</w:t>
      </w:r>
    </w:p>
    <w:p w14:paraId="1C1EF142" w14:textId="77777777" w:rsidR="00A14095" w:rsidRPr="00B36387" w:rsidRDefault="00A14095" w:rsidP="002B7974">
      <w:pPr>
        <w:spacing w:before="240" w:after="120" w:line="276" w:lineRule="auto"/>
        <w:rPr>
          <w:rFonts w:ascii="Open Sans Light" w:hAnsi="Open Sans Light" w:cs="Open Sans Light"/>
          <w:b/>
          <w:bCs/>
          <w:sz w:val="22"/>
          <w:szCs w:val="22"/>
        </w:rPr>
      </w:pPr>
      <w:r w:rsidRPr="00B36387">
        <w:rPr>
          <w:rFonts w:ascii="Open Sans Light" w:hAnsi="Open Sans Light" w:cs="Open Sans Light"/>
          <w:b/>
          <w:bCs/>
          <w:sz w:val="22"/>
          <w:szCs w:val="22"/>
        </w:rPr>
        <w:t xml:space="preserve">Oś Priorytetowa </w:t>
      </w:r>
      <w:r w:rsidRPr="00B36387">
        <w:rPr>
          <w:rFonts w:ascii="Open Sans Light" w:hAnsi="Open Sans Light" w:cs="Open Sans Light"/>
          <w:bCs/>
          <w:sz w:val="22"/>
          <w:szCs w:val="22"/>
        </w:rPr>
        <w:t>FENX.01 Wsparcie sektorów energetyka i środowisko z Funduszu Spójności</w:t>
      </w:r>
    </w:p>
    <w:p w14:paraId="6C74D393" w14:textId="67E62D92" w:rsidR="00A40D82" w:rsidRPr="00B36387" w:rsidRDefault="0015303A" w:rsidP="0061248F">
      <w:pPr>
        <w:spacing w:after="120" w:line="276" w:lineRule="auto"/>
        <w:rPr>
          <w:rFonts w:ascii="Open Sans Light" w:hAnsi="Open Sans Light" w:cs="Open Sans Light"/>
          <w:sz w:val="22"/>
          <w:szCs w:val="22"/>
        </w:rPr>
      </w:pPr>
      <w:r w:rsidRPr="00B36387">
        <w:rPr>
          <w:rFonts w:ascii="Open Sans Light" w:hAnsi="Open Sans Light" w:cs="Open Sans Light"/>
          <w:b/>
          <w:sz w:val="22"/>
          <w:szCs w:val="22"/>
        </w:rPr>
        <w:t xml:space="preserve">Działanie: </w:t>
      </w:r>
      <w:r w:rsidR="00A40D82" w:rsidRPr="00B36387">
        <w:rPr>
          <w:rFonts w:ascii="Open Sans Light" w:hAnsi="Open Sans Light" w:cs="Open Sans Light"/>
          <w:sz w:val="22"/>
          <w:szCs w:val="22"/>
        </w:rPr>
        <w:t>FENX.01.0</w:t>
      </w:r>
      <w:r w:rsidR="001F35D3">
        <w:rPr>
          <w:rFonts w:ascii="Open Sans Light" w:hAnsi="Open Sans Light" w:cs="Open Sans Light"/>
          <w:sz w:val="22"/>
          <w:szCs w:val="22"/>
        </w:rPr>
        <w:t>5</w:t>
      </w:r>
      <w:r w:rsidR="00A40D82" w:rsidRPr="00B36387">
        <w:rPr>
          <w:rFonts w:ascii="Open Sans Light" w:hAnsi="Open Sans Light" w:cs="Open Sans Light"/>
          <w:sz w:val="22"/>
          <w:szCs w:val="22"/>
        </w:rPr>
        <w:t xml:space="preserve"> </w:t>
      </w:r>
      <w:r w:rsidR="001F35D3" w:rsidRPr="001F35D3">
        <w:rPr>
          <w:rFonts w:ascii="Open Sans Light" w:hAnsi="Open Sans Light" w:cs="Open Sans Light"/>
          <w:sz w:val="22"/>
          <w:szCs w:val="22"/>
        </w:rPr>
        <w:t>Ochrona przyrody i rozwój zielonej infrastruktury</w:t>
      </w:r>
    </w:p>
    <w:p w14:paraId="5B725E0E" w14:textId="41EA022B" w:rsidR="008E489E" w:rsidRPr="00B36387" w:rsidRDefault="008E489E" w:rsidP="0061248F">
      <w:pPr>
        <w:spacing w:after="120" w:line="276" w:lineRule="auto"/>
        <w:rPr>
          <w:rFonts w:ascii="Open Sans Light" w:hAnsi="Open Sans Light" w:cs="Open Sans Light"/>
          <w:b/>
          <w:sz w:val="22"/>
          <w:szCs w:val="22"/>
        </w:rPr>
      </w:pPr>
      <w:r w:rsidRPr="00B36387">
        <w:rPr>
          <w:rFonts w:ascii="Open Sans Light" w:hAnsi="Open Sans Light" w:cs="Open Sans Light"/>
          <w:sz w:val="22"/>
          <w:szCs w:val="22"/>
        </w:rPr>
        <w:t>Typ projektu</w:t>
      </w:r>
      <w:r w:rsidR="00A40D82" w:rsidRPr="00B36387">
        <w:rPr>
          <w:rFonts w:ascii="Open Sans Light" w:hAnsi="Open Sans Light" w:cs="Open Sans Light"/>
          <w:sz w:val="22"/>
          <w:szCs w:val="22"/>
        </w:rPr>
        <w:t>:</w:t>
      </w:r>
      <w:r w:rsidRPr="00B36387">
        <w:rPr>
          <w:rFonts w:ascii="Open Sans Light" w:hAnsi="Open Sans Light" w:cs="Open Sans Light"/>
          <w:sz w:val="22"/>
          <w:szCs w:val="22"/>
        </w:rPr>
        <w:t xml:space="preserve"> </w:t>
      </w:r>
      <w:r w:rsidR="00652FC8" w:rsidRPr="00652FC8">
        <w:rPr>
          <w:rFonts w:ascii="Open Sans Light" w:hAnsi="Open Sans Light" w:cs="Open Sans Light"/>
          <w:sz w:val="22"/>
          <w:szCs w:val="22"/>
        </w:rPr>
        <w:t>Usuwanie niewłaściwie składowanych lub magazynowanych odpadów oraz wywołanego przez nie zagrożenia dla ludzi lub środowiska</w:t>
      </w:r>
    </w:p>
    <w:p w14:paraId="4D8F3253" w14:textId="2933EB04" w:rsidR="00AA60DD" w:rsidRPr="00B36387" w:rsidRDefault="001B5B7B" w:rsidP="0061248F">
      <w:pPr>
        <w:spacing w:after="120" w:line="276" w:lineRule="auto"/>
        <w:rPr>
          <w:rFonts w:ascii="Open Sans Light" w:hAnsi="Open Sans Light" w:cs="Open Sans Light"/>
          <w:sz w:val="22"/>
          <w:szCs w:val="22"/>
        </w:rPr>
      </w:pPr>
      <w:r w:rsidRPr="00B36387">
        <w:rPr>
          <w:rFonts w:ascii="Open Sans Light" w:hAnsi="Open Sans Light" w:cs="Open Sans Light"/>
          <w:b/>
          <w:sz w:val="22"/>
          <w:szCs w:val="22"/>
        </w:rPr>
        <w:t>Tryb naboru</w:t>
      </w:r>
      <w:r w:rsidRPr="00B36387">
        <w:rPr>
          <w:rFonts w:ascii="Open Sans Light" w:hAnsi="Open Sans Light" w:cs="Open Sans Light"/>
          <w:sz w:val="22"/>
          <w:szCs w:val="22"/>
        </w:rPr>
        <w:t xml:space="preserve"> („</w:t>
      </w:r>
      <w:r w:rsidR="00A14095" w:rsidRPr="00B36387">
        <w:rPr>
          <w:rFonts w:ascii="Open Sans Light" w:hAnsi="Open Sans Light" w:cs="Open Sans Light"/>
          <w:sz w:val="22"/>
          <w:szCs w:val="22"/>
        </w:rPr>
        <w:t>konkurencyjny</w:t>
      </w:r>
      <w:r w:rsidRPr="00B36387">
        <w:rPr>
          <w:rFonts w:ascii="Open Sans Light" w:hAnsi="Open Sans Light" w:cs="Open Sans Light"/>
          <w:sz w:val="22"/>
          <w:szCs w:val="22"/>
        </w:rPr>
        <w:t xml:space="preserve"> nr” lub „</w:t>
      </w:r>
      <w:r w:rsidR="00A14095" w:rsidRPr="00B36387">
        <w:rPr>
          <w:rFonts w:ascii="Open Sans Light" w:hAnsi="Open Sans Light" w:cs="Open Sans Light"/>
          <w:sz w:val="22"/>
          <w:szCs w:val="22"/>
        </w:rPr>
        <w:t>niekonkurencyjny</w:t>
      </w:r>
      <w:r w:rsidRPr="00B36387">
        <w:rPr>
          <w:rFonts w:ascii="Open Sans Light" w:hAnsi="Open Sans Light" w:cs="Open Sans Light"/>
          <w:sz w:val="22"/>
          <w:szCs w:val="22"/>
        </w:rPr>
        <w:t>”): …………….....................</w:t>
      </w:r>
      <w:r w:rsidR="008369E0" w:rsidRPr="00B36387">
        <w:rPr>
          <w:rFonts w:ascii="Open Sans Light" w:hAnsi="Open Sans Light" w:cs="Open Sans Light"/>
          <w:sz w:val="22"/>
          <w:szCs w:val="22"/>
        </w:rPr>
        <w:t>...........................</w:t>
      </w:r>
    </w:p>
    <w:p w14:paraId="098A81EF" w14:textId="77777777" w:rsidR="0015303A" w:rsidRPr="00B36387" w:rsidRDefault="0015303A" w:rsidP="0061248F">
      <w:pPr>
        <w:spacing w:after="120" w:line="276" w:lineRule="auto"/>
        <w:rPr>
          <w:rFonts w:ascii="Open Sans Light" w:hAnsi="Open Sans Light" w:cs="Open Sans Light"/>
          <w:sz w:val="22"/>
          <w:szCs w:val="22"/>
        </w:rPr>
      </w:pPr>
      <w:r w:rsidRPr="00B36387">
        <w:rPr>
          <w:rFonts w:ascii="Open Sans Light" w:hAnsi="Open Sans Light" w:cs="Open Sans Light"/>
          <w:b/>
          <w:sz w:val="22"/>
          <w:szCs w:val="22"/>
        </w:rPr>
        <w:t xml:space="preserve">Tytuł projektu: </w:t>
      </w:r>
      <w:r w:rsidRPr="00B36387">
        <w:rPr>
          <w:rFonts w:ascii="Open Sans Light" w:hAnsi="Open Sans Light" w:cs="Open Sans Light"/>
          <w:sz w:val="22"/>
          <w:szCs w:val="22"/>
        </w:rPr>
        <w:t>……………………………………………………………………………………</w:t>
      </w:r>
      <w:r w:rsidR="008369E0" w:rsidRPr="00B36387">
        <w:rPr>
          <w:rFonts w:ascii="Open Sans Light" w:hAnsi="Open Sans Light" w:cs="Open Sans Light"/>
          <w:sz w:val="22"/>
          <w:szCs w:val="22"/>
        </w:rPr>
        <w:t>……</w:t>
      </w:r>
    </w:p>
    <w:p w14:paraId="2AD714F8" w14:textId="77777777" w:rsidR="0015303A" w:rsidRPr="00B36387" w:rsidRDefault="0015303A" w:rsidP="0061248F">
      <w:pPr>
        <w:spacing w:after="120" w:line="276" w:lineRule="auto"/>
        <w:rPr>
          <w:rFonts w:ascii="Open Sans Light" w:hAnsi="Open Sans Light" w:cs="Open Sans Light"/>
          <w:sz w:val="22"/>
          <w:szCs w:val="22"/>
        </w:rPr>
      </w:pPr>
      <w:r w:rsidRPr="00B36387">
        <w:rPr>
          <w:rFonts w:ascii="Open Sans Light" w:hAnsi="Open Sans Light" w:cs="Open Sans Light"/>
          <w:b/>
          <w:sz w:val="22"/>
          <w:szCs w:val="22"/>
        </w:rPr>
        <w:t xml:space="preserve">Beneficjent projektu: </w:t>
      </w:r>
      <w:r w:rsidRPr="00B36387">
        <w:rPr>
          <w:rFonts w:ascii="Open Sans Light" w:hAnsi="Open Sans Light" w:cs="Open Sans Light"/>
          <w:sz w:val="22"/>
          <w:szCs w:val="22"/>
        </w:rPr>
        <w:t>……………………………………….....................</w:t>
      </w:r>
      <w:r w:rsidR="008369E0" w:rsidRPr="00B36387">
        <w:rPr>
          <w:rFonts w:ascii="Open Sans Light" w:hAnsi="Open Sans Light" w:cs="Open Sans Light"/>
          <w:sz w:val="22"/>
          <w:szCs w:val="22"/>
        </w:rPr>
        <w:t>....................................</w:t>
      </w:r>
    </w:p>
    <w:p w14:paraId="78C3F5FA" w14:textId="4DDCCDF0" w:rsidR="00D50A87" w:rsidRPr="00B36387" w:rsidRDefault="00A40D82" w:rsidP="002B7974">
      <w:pPr>
        <w:spacing w:after="240" w:line="276" w:lineRule="auto"/>
        <w:rPr>
          <w:rFonts w:ascii="Open Sans Light" w:hAnsi="Open Sans Light" w:cs="Open Sans Light"/>
          <w:sz w:val="22"/>
          <w:szCs w:val="22"/>
        </w:rPr>
      </w:pPr>
      <w:r w:rsidRPr="00B36387">
        <w:rPr>
          <w:rFonts w:ascii="Open Sans Light" w:hAnsi="Open Sans Light" w:cs="Open Sans Light"/>
          <w:b/>
          <w:sz w:val="22"/>
          <w:szCs w:val="22"/>
        </w:rPr>
        <w:t>Numer wniosku w systemie CST</w:t>
      </w:r>
      <w:r w:rsidR="00D50A87" w:rsidRPr="00B36387">
        <w:rPr>
          <w:rFonts w:ascii="Open Sans Light" w:hAnsi="Open Sans Light" w:cs="Open Sans Light"/>
          <w:b/>
          <w:sz w:val="22"/>
          <w:szCs w:val="22"/>
        </w:rPr>
        <w:t xml:space="preserve">; data złożenia: </w:t>
      </w:r>
      <w:r w:rsidR="00D50A87" w:rsidRPr="00B36387">
        <w:rPr>
          <w:rFonts w:ascii="Open Sans Light" w:hAnsi="Open Sans Light" w:cs="Open Sans Light"/>
          <w:sz w:val="22"/>
          <w:szCs w:val="22"/>
        </w:rPr>
        <w:t>……..………………………………………...</w:t>
      </w: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ela oceny kryteriami"/>
        <w:tblDescription w:val="Tabela oceny kryteriami"/>
      </w:tblPr>
      <w:tblGrid>
        <w:gridCol w:w="675"/>
        <w:gridCol w:w="3524"/>
        <w:gridCol w:w="2317"/>
        <w:gridCol w:w="2583"/>
      </w:tblGrid>
      <w:tr w:rsidR="009B59BE" w:rsidRPr="00763E8F" w14:paraId="1EA5A329" w14:textId="77777777" w:rsidTr="00BF5A0F">
        <w:trPr>
          <w:tblHeader/>
          <w:jc w:val="center"/>
        </w:trPr>
        <w:tc>
          <w:tcPr>
            <w:tcW w:w="675" w:type="dxa"/>
            <w:vAlign w:val="center"/>
          </w:tcPr>
          <w:p w14:paraId="30A058C8" w14:textId="77777777" w:rsidR="009B59BE" w:rsidRPr="00763E8F" w:rsidRDefault="009B59BE" w:rsidP="006124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Lp.</w:t>
            </w:r>
          </w:p>
        </w:tc>
        <w:tc>
          <w:tcPr>
            <w:tcW w:w="3524" w:type="dxa"/>
            <w:vAlign w:val="center"/>
          </w:tcPr>
          <w:p w14:paraId="127AB6F1" w14:textId="77777777" w:rsidR="009B59BE" w:rsidRPr="00763E8F" w:rsidRDefault="009B59BE" w:rsidP="006124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Kryterium</w:t>
            </w:r>
            <w:r w:rsidR="00F13376" w:rsidRPr="00763E8F">
              <w:rPr>
                <w:rFonts w:ascii="Open Sans Light" w:hAnsi="Open Sans Light" w:cs="Open Sans Light"/>
                <w:b/>
                <w:sz w:val="20"/>
                <w:szCs w:val="20"/>
              </w:rPr>
              <w:t xml:space="preserve"> i pytania</w:t>
            </w:r>
          </w:p>
        </w:tc>
        <w:tc>
          <w:tcPr>
            <w:tcW w:w="2317" w:type="dxa"/>
            <w:vAlign w:val="center"/>
          </w:tcPr>
          <w:p w14:paraId="08C8FD91" w14:textId="74487419" w:rsidR="009B59BE" w:rsidRPr="00763E8F" w:rsidRDefault="009B59BE" w:rsidP="006124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Tak/Nie/Nie dotyczy</w:t>
            </w:r>
            <w:r w:rsidR="00AA38F7" w:rsidRPr="00763E8F">
              <w:rPr>
                <w:rStyle w:val="Odwoanieprzypisudolnego"/>
                <w:rFonts w:ascii="Open Sans Light" w:hAnsi="Open Sans Light" w:cs="Open Sans Light"/>
                <w:b/>
                <w:sz w:val="20"/>
                <w:szCs w:val="20"/>
              </w:rPr>
              <w:footnoteReference w:id="1"/>
            </w:r>
          </w:p>
        </w:tc>
        <w:tc>
          <w:tcPr>
            <w:tcW w:w="2583" w:type="dxa"/>
            <w:vAlign w:val="center"/>
          </w:tcPr>
          <w:p w14:paraId="21B45821" w14:textId="77777777" w:rsidR="009B59BE" w:rsidRPr="00763E8F" w:rsidRDefault="009B59BE" w:rsidP="006124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Uzasadnienie</w:t>
            </w:r>
          </w:p>
        </w:tc>
      </w:tr>
      <w:tr w:rsidR="000C4571" w:rsidRPr="00763E8F" w14:paraId="1C8996CE" w14:textId="77777777" w:rsidTr="008862BE">
        <w:trPr>
          <w:trHeight w:val="481"/>
          <w:jc w:val="center"/>
        </w:trPr>
        <w:tc>
          <w:tcPr>
            <w:tcW w:w="9099" w:type="dxa"/>
            <w:gridSpan w:val="4"/>
            <w:vAlign w:val="center"/>
          </w:tcPr>
          <w:p w14:paraId="1751146F" w14:textId="587E49E3" w:rsidR="000C4571" w:rsidRPr="00763E8F" w:rsidRDefault="000C4571" w:rsidP="006124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Kryteria horyzontalne</w:t>
            </w:r>
          </w:p>
        </w:tc>
      </w:tr>
      <w:tr w:rsidR="00595A93" w:rsidRPr="00763E8F" w14:paraId="6B190011" w14:textId="77777777" w:rsidTr="00CD2638">
        <w:trPr>
          <w:trHeight w:val="481"/>
          <w:jc w:val="center"/>
        </w:trPr>
        <w:tc>
          <w:tcPr>
            <w:tcW w:w="675" w:type="dxa"/>
            <w:vAlign w:val="center"/>
          </w:tcPr>
          <w:p w14:paraId="4634EE92" w14:textId="23A45A48" w:rsidR="00595A93" w:rsidRPr="00763E8F" w:rsidRDefault="00595A93" w:rsidP="006124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5</w:t>
            </w:r>
          </w:p>
        </w:tc>
        <w:tc>
          <w:tcPr>
            <w:tcW w:w="3524" w:type="dxa"/>
            <w:vAlign w:val="center"/>
          </w:tcPr>
          <w:p w14:paraId="77B12809" w14:textId="29DD653E" w:rsidR="00595A93" w:rsidRPr="00763E8F" w:rsidRDefault="00595A93" w:rsidP="006124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Kompletność dokumentacji aplikacyjnej i spójność informacji zawartych we wniosku, załącznikach do wniosku</w:t>
            </w:r>
          </w:p>
        </w:tc>
        <w:tc>
          <w:tcPr>
            <w:tcW w:w="2317" w:type="dxa"/>
            <w:vAlign w:val="center"/>
          </w:tcPr>
          <w:p w14:paraId="6259C8AB" w14:textId="77777777" w:rsidR="00595A93" w:rsidRPr="00763E8F" w:rsidRDefault="00595A93" w:rsidP="0061248F">
            <w:pPr>
              <w:spacing w:line="276" w:lineRule="auto"/>
              <w:rPr>
                <w:rFonts w:ascii="Open Sans Light" w:hAnsi="Open Sans Light" w:cs="Open Sans Light"/>
                <w:b/>
                <w:sz w:val="20"/>
                <w:szCs w:val="20"/>
              </w:rPr>
            </w:pPr>
          </w:p>
        </w:tc>
        <w:tc>
          <w:tcPr>
            <w:tcW w:w="2583" w:type="dxa"/>
            <w:vAlign w:val="center"/>
          </w:tcPr>
          <w:p w14:paraId="29743B70" w14:textId="77777777" w:rsidR="00595A93" w:rsidRPr="00763E8F" w:rsidRDefault="00595A93" w:rsidP="0061248F">
            <w:pPr>
              <w:spacing w:line="276" w:lineRule="auto"/>
              <w:rPr>
                <w:rFonts w:ascii="Open Sans Light" w:hAnsi="Open Sans Light" w:cs="Open Sans Light"/>
                <w:b/>
                <w:sz w:val="20"/>
                <w:szCs w:val="20"/>
              </w:rPr>
            </w:pPr>
          </w:p>
        </w:tc>
      </w:tr>
      <w:tr w:rsidR="00595A93" w:rsidRPr="00763E8F" w14:paraId="600ABE81" w14:textId="77777777" w:rsidTr="00CD2638">
        <w:trPr>
          <w:trHeight w:val="481"/>
          <w:jc w:val="center"/>
        </w:trPr>
        <w:tc>
          <w:tcPr>
            <w:tcW w:w="675" w:type="dxa"/>
            <w:vAlign w:val="center"/>
          </w:tcPr>
          <w:p w14:paraId="508A2969" w14:textId="77777777" w:rsidR="00595A93" w:rsidRPr="00763E8F" w:rsidRDefault="00595A93" w:rsidP="0061248F">
            <w:pPr>
              <w:spacing w:line="276" w:lineRule="auto"/>
              <w:jc w:val="center"/>
              <w:rPr>
                <w:rFonts w:ascii="Open Sans Light" w:hAnsi="Open Sans Light" w:cs="Open Sans Light"/>
                <w:b/>
                <w:sz w:val="20"/>
                <w:szCs w:val="20"/>
              </w:rPr>
            </w:pPr>
          </w:p>
        </w:tc>
        <w:tc>
          <w:tcPr>
            <w:tcW w:w="3524" w:type="dxa"/>
            <w:vAlign w:val="center"/>
          </w:tcPr>
          <w:p w14:paraId="5F638552" w14:textId="1477E42E" w:rsidR="00595A93" w:rsidRPr="00763E8F" w:rsidRDefault="00595A93" w:rsidP="006124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wymagana dokumentacja aplikacyjna jest kompletna oraz czy występuje spójność informacji zawartych we wniosku oraz załącznikach do wniosku , w tym dokumentacji technicznej?</w:t>
            </w:r>
          </w:p>
        </w:tc>
        <w:tc>
          <w:tcPr>
            <w:tcW w:w="2317" w:type="dxa"/>
            <w:vAlign w:val="center"/>
          </w:tcPr>
          <w:p w14:paraId="07FE9560" w14:textId="77777777" w:rsidR="00595A93" w:rsidRPr="00763E8F" w:rsidRDefault="00595A93" w:rsidP="0061248F">
            <w:pPr>
              <w:spacing w:line="276" w:lineRule="auto"/>
              <w:rPr>
                <w:rFonts w:ascii="Open Sans Light" w:hAnsi="Open Sans Light" w:cs="Open Sans Light"/>
                <w:b/>
                <w:sz w:val="20"/>
                <w:szCs w:val="20"/>
              </w:rPr>
            </w:pPr>
          </w:p>
        </w:tc>
        <w:tc>
          <w:tcPr>
            <w:tcW w:w="2583" w:type="dxa"/>
            <w:vAlign w:val="center"/>
          </w:tcPr>
          <w:p w14:paraId="4CB53DA5" w14:textId="77777777" w:rsidR="00595A93" w:rsidRPr="00763E8F" w:rsidRDefault="00595A93" w:rsidP="0061248F">
            <w:pPr>
              <w:spacing w:line="276" w:lineRule="auto"/>
              <w:rPr>
                <w:rFonts w:ascii="Open Sans Light" w:hAnsi="Open Sans Light" w:cs="Open Sans Light"/>
                <w:b/>
                <w:sz w:val="20"/>
                <w:szCs w:val="20"/>
              </w:rPr>
            </w:pPr>
          </w:p>
        </w:tc>
      </w:tr>
      <w:tr w:rsidR="00C724B7" w:rsidRPr="00763E8F" w14:paraId="45CFF8E8" w14:textId="77777777" w:rsidTr="00CD2638">
        <w:trPr>
          <w:trHeight w:val="481"/>
          <w:jc w:val="center"/>
        </w:trPr>
        <w:tc>
          <w:tcPr>
            <w:tcW w:w="675" w:type="dxa"/>
            <w:vAlign w:val="center"/>
          </w:tcPr>
          <w:p w14:paraId="56500815" w14:textId="2392F27C" w:rsidR="00C724B7" w:rsidRPr="00763E8F" w:rsidRDefault="000C4571" w:rsidP="006124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lastRenderedPageBreak/>
              <w:t>7</w:t>
            </w:r>
          </w:p>
        </w:tc>
        <w:tc>
          <w:tcPr>
            <w:tcW w:w="3524" w:type="dxa"/>
            <w:vAlign w:val="center"/>
          </w:tcPr>
          <w:p w14:paraId="5752FC26" w14:textId="6BFBC599" w:rsidR="00C724B7" w:rsidRPr="00763E8F" w:rsidRDefault="00791862" w:rsidP="006124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Trwałość projektu</w:t>
            </w:r>
          </w:p>
        </w:tc>
        <w:tc>
          <w:tcPr>
            <w:tcW w:w="2317" w:type="dxa"/>
            <w:vAlign w:val="center"/>
          </w:tcPr>
          <w:p w14:paraId="25A01493" w14:textId="77777777" w:rsidR="00C724B7" w:rsidRPr="00763E8F" w:rsidRDefault="00C724B7" w:rsidP="0061248F">
            <w:pPr>
              <w:spacing w:line="276" w:lineRule="auto"/>
              <w:rPr>
                <w:rFonts w:ascii="Open Sans Light" w:hAnsi="Open Sans Light" w:cs="Open Sans Light"/>
                <w:b/>
                <w:sz w:val="20"/>
                <w:szCs w:val="20"/>
              </w:rPr>
            </w:pPr>
          </w:p>
        </w:tc>
        <w:tc>
          <w:tcPr>
            <w:tcW w:w="2583" w:type="dxa"/>
            <w:vAlign w:val="center"/>
          </w:tcPr>
          <w:p w14:paraId="09420BEB" w14:textId="77777777" w:rsidR="00C724B7" w:rsidRPr="00763E8F" w:rsidRDefault="00C724B7" w:rsidP="0061248F">
            <w:pPr>
              <w:spacing w:line="276" w:lineRule="auto"/>
              <w:rPr>
                <w:rFonts w:ascii="Open Sans Light" w:hAnsi="Open Sans Light" w:cs="Open Sans Light"/>
                <w:b/>
                <w:sz w:val="20"/>
                <w:szCs w:val="20"/>
              </w:rPr>
            </w:pPr>
          </w:p>
        </w:tc>
      </w:tr>
      <w:tr w:rsidR="00C724B7" w:rsidRPr="00763E8F" w:rsidDel="008A092E" w14:paraId="115E36F8" w14:textId="77777777" w:rsidTr="00CD2638">
        <w:trPr>
          <w:trHeight w:val="481"/>
          <w:jc w:val="center"/>
        </w:trPr>
        <w:tc>
          <w:tcPr>
            <w:tcW w:w="675" w:type="dxa"/>
            <w:vAlign w:val="center"/>
          </w:tcPr>
          <w:p w14:paraId="568CC182" w14:textId="77777777" w:rsidR="00C724B7" w:rsidRPr="00763E8F" w:rsidDel="008A092E" w:rsidRDefault="00C724B7" w:rsidP="0061248F">
            <w:pPr>
              <w:spacing w:line="276" w:lineRule="auto"/>
              <w:jc w:val="center"/>
              <w:rPr>
                <w:rFonts w:ascii="Open Sans Light" w:hAnsi="Open Sans Light" w:cs="Open Sans Light"/>
                <w:b/>
                <w:sz w:val="20"/>
                <w:szCs w:val="20"/>
              </w:rPr>
            </w:pPr>
          </w:p>
        </w:tc>
        <w:tc>
          <w:tcPr>
            <w:tcW w:w="3524" w:type="dxa"/>
            <w:vAlign w:val="center"/>
          </w:tcPr>
          <w:p w14:paraId="572386CA" w14:textId="77777777" w:rsidR="00C724B7" w:rsidRPr="00763E8F" w:rsidRDefault="00C724B7" w:rsidP="0061248F">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791862" w:rsidRPr="00763E8F">
              <w:rPr>
                <w:rFonts w:ascii="Open Sans Light" w:hAnsi="Open Sans Light" w:cs="Open Sans Light"/>
                <w:sz w:val="20"/>
                <w:szCs w:val="20"/>
              </w:rPr>
              <w:t xml:space="preserve">jest zachowanie trwałości w rozumieniu zgodnie z art. 65 CPR, </w:t>
            </w:r>
            <w:r w:rsidR="00791862" w:rsidRPr="00763E8F">
              <w:rPr>
                <w:rFonts w:ascii="Open Sans Light" w:hAnsi="Open Sans Light" w:cs="Open Sans Light"/>
                <w:sz w:val="20"/>
                <w:szCs w:val="20"/>
              </w:rPr>
              <w:br/>
              <w:t>w odniesieniu do projektu (operacji) obejmującego (obejmującej) inwestycje w infrastrukturę lub inwestycje produkcyjne</w:t>
            </w:r>
            <w:r w:rsidRPr="00763E8F">
              <w:rPr>
                <w:rFonts w:ascii="Open Sans Light" w:hAnsi="Open Sans Light" w:cs="Open Sans Light"/>
                <w:sz w:val="20"/>
                <w:szCs w:val="20"/>
              </w:rPr>
              <w:t>?</w:t>
            </w:r>
          </w:p>
          <w:p w14:paraId="70E88146" w14:textId="4F770E2D" w:rsidR="00DF1D02" w:rsidRPr="00763E8F" w:rsidDel="008A092E" w:rsidRDefault="00DF1D02" w:rsidP="0061248F">
            <w:pPr>
              <w:autoSpaceDE w:val="0"/>
              <w:autoSpaceDN w:val="0"/>
              <w:adjustRightInd w:val="0"/>
              <w:spacing w:line="276" w:lineRule="auto"/>
              <w:rPr>
                <w:rFonts w:ascii="Open Sans Light" w:hAnsi="Open Sans Light" w:cs="Open Sans Light"/>
                <w:sz w:val="20"/>
                <w:szCs w:val="20"/>
              </w:rPr>
            </w:pPr>
          </w:p>
        </w:tc>
        <w:tc>
          <w:tcPr>
            <w:tcW w:w="2317" w:type="dxa"/>
            <w:vAlign w:val="center"/>
          </w:tcPr>
          <w:p w14:paraId="22B44D99" w14:textId="77777777" w:rsidR="00C724B7" w:rsidRPr="00763E8F" w:rsidDel="008A092E" w:rsidRDefault="00C724B7" w:rsidP="0061248F">
            <w:pPr>
              <w:spacing w:line="276" w:lineRule="auto"/>
              <w:rPr>
                <w:rFonts w:ascii="Open Sans Light" w:hAnsi="Open Sans Light" w:cs="Open Sans Light"/>
                <w:b/>
                <w:sz w:val="20"/>
                <w:szCs w:val="20"/>
              </w:rPr>
            </w:pPr>
          </w:p>
        </w:tc>
        <w:tc>
          <w:tcPr>
            <w:tcW w:w="2583" w:type="dxa"/>
            <w:vAlign w:val="center"/>
          </w:tcPr>
          <w:p w14:paraId="7A11A119" w14:textId="77777777" w:rsidR="00C724B7" w:rsidRPr="00763E8F" w:rsidDel="008A092E" w:rsidRDefault="00C724B7" w:rsidP="0061248F">
            <w:pPr>
              <w:spacing w:line="276" w:lineRule="auto"/>
              <w:rPr>
                <w:rFonts w:ascii="Open Sans Light" w:hAnsi="Open Sans Light" w:cs="Open Sans Light"/>
                <w:b/>
                <w:sz w:val="20"/>
                <w:szCs w:val="20"/>
              </w:rPr>
            </w:pPr>
          </w:p>
        </w:tc>
      </w:tr>
      <w:tr w:rsidR="009123A4" w:rsidRPr="00763E8F" w14:paraId="46AF0B04" w14:textId="77777777" w:rsidTr="00D728F5">
        <w:trPr>
          <w:trHeight w:val="481"/>
          <w:jc w:val="center"/>
        </w:trPr>
        <w:tc>
          <w:tcPr>
            <w:tcW w:w="675" w:type="dxa"/>
            <w:vAlign w:val="center"/>
          </w:tcPr>
          <w:p w14:paraId="009DF797" w14:textId="77777777" w:rsidR="009123A4" w:rsidRPr="00763E8F" w:rsidRDefault="009123A4" w:rsidP="006124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9</w:t>
            </w:r>
          </w:p>
        </w:tc>
        <w:tc>
          <w:tcPr>
            <w:tcW w:w="3524" w:type="dxa"/>
            <w:vAlign w:val="center"/>
          </w:tcPr>
          <w:p w14:paraId="473002F8" w14:textId="77777777" w:rsidR="009123A4" w:rsidRPr="00763E8F" w:rsidRDefault="009123A4" w:rsidP="0061248F">
            <w:pPr>
              <w:spacing w:line="276" w:lineRule="auto"/>
              <w:rPr>
                <w:rFonts w:ascii="Open Sans Light" w:hAnsi="Open Sans Light" w:cs="Open Sans Light"/>
                <w:sz w:val="20"/>
                <w:szCs w:val="20"/>
              </w:rPr>
            </w:pPr>
            <w:r w:rsidRPr="00763E8F">
              <w:rPr>
                <w:rFonts w:ascii="Open Sans Light" w:hAnsi="Open Sans Light" w:cs="Open Sans Light"/>
                <w:b/>
                <w:sz w:val="20"/>
                <w:szCs w:val="20"/>
              </w:rPr>
              <w:t xml:space="preserve">Wnioskodawca nie jest przedsiębiorstwem w trudnej sytuacji w rozumieniu unijnych przepisów dotyczących pomocy państwa </w:t>
            </w:r>
          </w:p>
        </w:tc>
        <w:tc>
          <w:tcPr>
            <w:tcW w:w="2317" w:type="dxa"/>
            <w:vAlign w:val="center"/>
          </w:tcPr>
          <w:p w14:paraId="17EEB6E5" w14:textId="77777777" w:rsidR="009123A4" w:rsidRPr="00763E8F" w:rsidRDefault="009123A4" w:rsidP="0061248F">
            <w:pPr>
              <w:spacing w:line="276" w:lineRule="auto"/>
              <w:rPr>
                <w:rFonts w:ascii="Open Sans Light" w:hAnsi="Open Sans Light" w:cs="Open Sans Light"/>
                <w:b/>
                <w:sz w:val="20"/>
                <w:szCs w:val="20"/>
              </w:rPr>
            </w:pPr>
          </w:p>
        </w:tc>
        <w:tc>
          <w:tcPr>
            <w:tcW w:w="2583" w:type="dxa"/>
            <w:vAlign w:val="center"/>
          </w:tcPr>
          <w:p w14:paraId="3BEB231E" w14:textId="77777777" w:rsidR="009123A4" w:rsidRPr="00763E8F" w:rsidRDefault="009123A4" w:rsidP="0061248F">
            <w:pPr>
              <w:spacing w:line="276" w:lineRule="auto"/>
              <w:rPr>
                <w:rFonts w:ascii="Open Sans Light" w:hAnsi="Open Sans Light" w:cs="Open Sans Light"/>
                <w:b/>
                <w:sz w:val="20"/>
                <w:szCs w:val="20"/>
              </w:rPr>
            </w:pPr>
          </w:p>
        </w:tc>
      </w:tr>
      <w:tr w:rsidR="009123A4" w:rsidRPr="00763E8F" w14:paraId="3B47DBE0" w14:textId="77777777" w:rsidTr="00D728F5">
        <w:trPr>
          <w:trHeight w:val="481"/>
          <w:jc w:val="center"/>
        </w:trPr>
        <w:tc>
          <w:tcPr>
            <w:tcW w:w="675" w:type="dxa"/>
            <w:vAlign w:val="center"/>
          </w:tcPr>
          <w:p w14:paraId="44467F7B" w14:textId="77777777" w:rsidR="009123A4" w:rsidRPr="00763E8F" w:rsidRDefault="009123A4" w:rsidP="0061248F">
            <w:pPr>
              <w:spacing w:line="276" w:lineRule="auto"/>
              <w:rPr>
                <w:rFonts w:ascii="Open Sans Light" w:hAnsi="Open Sans Light" w:cs="Open Sans Light"/>
                <w:b/>
                <w:sz w:val="20"/>
                <w:szCs w:val="20"/>
              </w:rPr>
            </w:pPr>
          </w:p>
        </w:tc>
        <w:tc>
          <w:tcPr>
            <w:tcW w:w="3524" w:type="dxa"/>
            <w:vAlign w:val="center"/>
          </w:tcPr>
          <w:p w14:paraId="5F956228" w14:textId="04D5284C" w:rsidR="009123A4" w:rsidRPr="00763E8F" w:rsidRDefault="009123A4" w:rsidP="0061248F">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wnioskodawca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2014 C 249/1) w zależności od tego, która jest właściwa (zgodnie z przepisami </w:t>
            </w:r>
            <w:r w:rsidRPr="00763E8F">
              <w:rPr>
                <w:rFonts w:ascii="Open Sans Light" w:hAnsi="Open Sans Light" w:cs="Open Sans Light"/>
                <w:sz w:val="20"/>
                <w:szCs w:val="20"/>
              </w:rPr>
              <w:br/>
              <w:t>o pomocy publicznej)? Ocena na podstawie złożonego oświadczenia.</w:t>
            </w:r>
          </w:p>
        </w:tc>
        <w:tc>
          <w:tcPr>
            <w:tcW w:w="2317" w:type="dxa"/>
            <w:vAlign w:val="center"/>
          </w:tcPr>
          <w:p w14:paraId="00E37585" w14:textId="77777777" w:rsidR="009123A4" w:rsidRPr="00763E8F" w:rsidRDefault="009123A4" w:rsidP="0061248F">
            <w:pPr>
              <w:spacing w:line="276" w:lineRule="auto"/>
              <w:rPr>
                <w:rFonts w:ascii="Open Sans Light" w:hAnsi="Open Sans Light" w:cs="Open Sans Light"/>
                <w:b/>
                <w:sz w:val="20"/>
                <w:szCs w:val="20"/>
              </w:rPr>
            </w:pPr>
          </w:p>
        </w:tc>
        <w:tc>
          <w:tcPr>
            <w:tcW w:w="2583" w:type="dxa"/>
            <w:vAlign w:val="center"/>
          </w:tcPr>
          <w:p w14:paraId="312032C1" w14:textId="77777777" w:rsidR="009123A4" w:rsidRPr="00763E8F" w:rsidRDefault="009123A4" w:rsidP="0061248F">
            <w:pPr>
              <w:spacing w:line="276" w:lineRule="auto"/>
              <w:rPr>
                <w:rFonts w:ascii="Open Sans Light" w:hAnsi="Open Sans Light" w:cs="Open Sans Light"/>
                <w:b/>
                <w:sz w:val="20"/>
                <w:szCs w:val="20"/>
              </w:rPr>
            </w:pPr>
          </w:p>
        </w:tc>
      </w:tr>
      <w:tr w:rsidR="00C204D2" w:rsidRPr="00763E8F" w14:paraId="40ADB569" w14:textId="77777777" w:rsidTr="00CD2638">
        <w:trPr>
          <w:trHeight w:val="481"/>
          <w:jc w:val="center"/>
        </w:trPr>
        <w:tc>
          <w:tcPr>
            <w:tcW w:w="675" w:type="dxa"/>
            <w:vAlign w:val="center"/>
          </w:tcPr>
          <w:p w14:paraId="03B4AB62" w14:textId="2D56F1AC" w:rsidR="00C204D2" w:rsidRPr="00763E8F" w:rsidRDefault="000C4571" w:rsidP="006124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13</w:t>
            </w:r>
          </w:p>
        </w:tc>
        <w:tc>
          <w:tcPr>
            <w:tcW w:w="3524" w:type="dxa"/>
            <w:vAlign w:val="center"/>
          </w:tcPr>
          <w:p w14:paraId="64161336" w14:textId="7285F39C" w:rsidR="00C204D2" w:rsidRPr="00763E8F" w:rsidRDefault="00B84CEA" w:rsidP="006124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 xml:space="preserve">Gotowość organizacyjno-instytucjonalna wnioskodawcy </w:t>
            </w:r>
            <w:r w:rsidRPr="00763E8F">
              <w:rPr>
                <w:rFonts w:ascii="Open Sans Light" w:hAnsi="Open Sans Light" w:cs="Open Sans Light"/>
                <w:b/>
                <w:sz w:val="20"/>
                <w:szCs w:val="20"/>
              </w:rPr>
              <w:br/>
              <w:t>w obszarze zawierania umów</w:t>
            </w:r>
          </w:p>
        </w:tc>
        <w:tc>
          <w:tcPr>
            <w:tcW w:w="2317" w:type="dxa"/>
            <w:vAlign w:val="center"/>
          </w:tcPr>
          <w:p w14:paraId="3DEBF993" w14:textId="77777777" w:rsidR="00C204D2" w:rsidRPr="00763E8F" w:rsidRDefault="00C204D2" w:rsidP="0061248F">
            <w:pPr>
              <w:spacing w:line="276" w:lineRule="auto"/>
              <w:rPr>
                <w:rFonts w:ascii="Open Sans Light" w:hAnsi="Open Sans Light" w:cs="Open Sans Light"/>
                <w:b/>
                <w:sz w:val="20"/>
                <w:szCs w:val="20"/>
              </w:rPr>
            </w:pPr>
          </w:p>
        </w:tc>
        <w:tc>
          <w:tcPr>
            <w:tcW w:w="2583" w:type="dxa"/>
            <w:vAlign w:val="center"/>
          </w:tcPr>
          <w:p w14:paraId="20D25904" w14:textId="77777777" w:rsidR="00C204D2" w:rsidRPr="00763E8F" w:rsidRDefault="00C204D2" w:rsidP="0061248F">
            <w:pPr>
              <w:spacing w:line="276" w:lineRule="auto"/>
              <w:rPr>
                <w:rFonts w:ascii="Open Sans Light" w:hAnsi="Open Sans Light" w:cs="Open Sans Light"/>
                <w:b/>
                <w:sz w:val="20"/>
                <w:szCs w:val="20"/>
              </w:rPr>
            </w:pPr>
          </w:p>
        </w:tc>
      </w:tr>
      <w:tr w:rsidR="000C2C51" w:rsidRPr="00763E8F" w14:paraId="2FF2D9E3" w14:textId="77777777" w:rsidTr="00CD2638">
        <w:trPr>
          <w:trHeight w:val="481"/>
          <w:jc w:val="center"/>
        </w:trPr>
        <w:tc>
          <w:tcPr>
            <w:tcW w:w="675" w:type="dxa"/>
            <w:vAlign w:val="center"/>
          </w:tcPr>
          <w:p w14:paraId="4B1544F8" w14:textId="77777777" w:rsidR="000C2C51" w:rsidRPr="00763E8F" w:rsidRDefault="000C2C51" w:rsidP="0061248F">
            <w:pPr>
              <w:spacing w:line="276" w:lineRule="auto"/>
              <w:jc w:val="center"/>
              <w:rPr>
                <w:rFonts w:ascii="Open Sans Light" w:hAnsi="Open Sans Light" w:cs="Open Sans Light"/>
                <w:b/>
                <w:sz w:val="20"/>
                <w:szCs w:val="20"/>
              </w:rPr>
            </w:pPr>
          </w:p>
        </w:tc>
        <w:tc>
          <w:tcPr>
            <w:tcW w:w="3524" w:type="dxa"/>
            <w:vAlign w:val="center"/>
          </w:tcPr>
          <w:p w14:paraId="0821C40D" w14:textId="0F3BA45F" w:rsidR="000C2C51" w:rsidRPr="00763E8F" w:rsidRDefault="000C2C51" w:rsidP="006124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 przypadku umów zawieranych zgodnie z ustawą Prawo zamówień publicznych, beneficjent (wnioskodawca) i podmiot upoważniony do ponoszenia wydatków w ramach projektu (jeśli dotyczy) potwierdził działanie zgodnie z tą ustawą?</w:t>
            </w:r>
          </w:p>
          <w:p w14:paraId="0A03C340" w14:textId="191030FD" w:rsidR="000C2C51" w:rsidRPr="00763E8F" w:rsidRDefault="000C2C51" w:rsidP="0061248F">
            <w:pPr>
              <w:spacing w:line="276" w:lineRule="auto"/>
              <w:rPr>
                <w:rFonts w:ascii="Open Sans Light" w:hAnsi="Open Sans Light" w:cs="Open Sans Light"/>
                <w:sz w:val="20"/>
                <w:szCs w:val="20"/>
              </w:rPr>
            </w:pPr>
          </w:p>
        </w:tc>
        <w:tc>
          <w:tcPr>
            <w:tcW w:w="2317" w:type="dxa"/>
            <w:vAlign w:val="center"/>
          </w:tcPr>
          <w:p w14:paraId="4D6629F8" w14:textId="77777777" w:rsidR="000C2C51" w:rsidRPr="00763E8F" w:rsidRDefault="000C2C51" w:rsidP="0061248F">
            <w:pPr>
              <w:spacing w:line="276" w:lineRule="auto"/>
              <w:rPr>
                <w:rFonts w:ascii="Open Sans Light" w:hAnsi="Open Sans Light" w:cs="Open Sans Light"/>
                <w:b/>
                <w:sz w:val="20"/>
                <w:szCs w:val="20"/>
              </w:rPr>
            </w:pPr>
          </w:p>
        </w:tc>
        <w:tc>
          <w:tcPr>
            <w:tcW w:w="2583" w:type="dxa"/>
            <w:vAlign w:val="center"/>
          </w:tcPr>
          <w:p w14:paraId="6364E004" w14:textId="77777777" w:rsidR="000C2C51" w:rsidRPr="00763E8F" w:rsidRDefault="000C2C51" w:rsidP="0061248F">
            <w:pPr>
              <w:spacing w:line="276" w:lineRule="auto"/>
              <w:rPr>
                <w:rFonts w:ascii="Open Sans Light" w:hAnsi="Open Sans Light" w:cs="Open Sans Light"/>
                <w:b/>
                <w:sz w:val="20"/>
                <w:szCs w:val="20"/>
              </w:rPr>
            </w:pPr>
          </w:p>
        </w:tc>
      </w:tr>
      <w:tr w:rsidR="000C2C51" w:rsidRPr="00763E8F" w14:paraId="16E34B8F" w14:textId="77777777" w:rsidTr="00CD2638">
        <w:trPr>
          <w:trHeight w:val="481"/>
          <w:jc w:val="center"/>
        </w:trPr>
        <w:tc>
          <w:tcPr>
            <w:tcW w:w="675" w:type="dxa"/>
            <w:vAlign w:val="center"/>
          </w:tcPr>
          <w:p w14:paraId="4E46CAE0" w14:textId="77777777" w:rsidR="000C2C51" w:rsidRPr="00763E8F" w:rsidRDefault="000C2C51" w:rsidP="0061248F">
            <w:pPr>
              <w:spacing w:line="276" w:lineRule="auto"/>
              <w:jc w:val="center"/>
              <w:rPr>
                <w:rFonts w:ascii="Open Sans Light" w:hAnsi="Open Sans Light" w:cs="Open Sans Light"/>
                <w:b/>
                <w:sz w:val="20"/>
                <w:szCs w:val="20"/>
              </w:rPr>
            </w:pPr>
          </w:p>
        </w:tc>
        <w:tc>
          <w:tcPr>
            <w:tcW w:w="3524" w:type="dxa"/>
            <w:vAlign w:val="center"/>
          </w:tcPr>
          <w:p w14:paraId="0CE1CF64" w14:textId="7B9A1ED1" w:rsidR="000C2C51" w:rsidRPr="00763E8F" w:rsidRDefault="000C2C51" w:rsidP="006124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 przypadku umów, do których nie stosuje się ustawy Prawo zamówień publicznych potencjalny </w:t>
            </w:r>
            <w:r w:rsidRPr="00763E8F">
              <w:rPr>
                <w:rFonts w:ascii="Open Sans Light" w:hAnsi="Open Sans Light" w:cs="Open Sans Light"/>
                <w:sz w:val="20"/>
                <w:szCs w:val="20"/>
              </w:rPr>
              <w:lastRenderedPageBreak/>
              <w:t>beneficjent (wnioskodawca) i podmiot upoważniony do ponoszenia wydatków w ramach projektu (jeśli dotyczy) potwierdził że posiada wewnętrzne procedury  uwzględniające zasady zawierania umów określone w wytycznych dotyczących kwalifikowania wydatków?</w:t>
            </w:r>
          </w:p>
        </w:tc>
        <w:tc>
          <w:tcPr>
            <w:tcW w:w="2317" w:type="dxa"/>
            <w:vAlign w:val="center"/>
          </w:tcPr>
          <w:p w14:paraId="4DDDE4E7" w14:textId="77777777" w:rsidR="000C2C51" w:rsidRPr="00763E8F" w:rsidRDefault="000C2C51" w:rsidP="0061248F">
            <w:pPr>
              <w:spacing w:line="276" w:lineRule="auto"/>
              <w:rPr>
                <w:rFonts w:ascii="Open Sans Light" w:hAnsi="Open Sans Light" w:cs="Open Sans Light"/>
                <w:b/>
                <w:sz w:val="20"/>
                <w:szCs w:val="20"/>
              </w:rPr>
            </w:pPr>
          </w:p>
        </w:tc>
        <w:tc>
          <w:tcPr>
            <w:tcW w:w="2583" w:type="dxa"/>
            <w:vAlign w:val="center"/>
          </w:tcPr>
          <w:p w14:paraId="54A346E3" w14:textId="77777777" w:rsidR="000C2C51" w:rsidRPr="00763E8F" w:rsidRDefault="000C2C51" w:rsidP="0061248F">
            <w:pPr>
              <w:spacing w:line="276" w:lineRule="auto"/>
              <w:rPr>
                <w:rFonts w:ascii="Open Sans Light" w:hAnsi="Open Sans Light" w:cs="Open Sans Light"/>
                <w:b/>
                <w:sz w:val="20"/>
                <w:szCs w:val="20"/>
              </w:rPr>
            </w:pPr>
          </w:p>
        </w:tc>
      </w:tr>
      <w:tr w:rsidR="0061248F" w:rsidRPr="00763E8F" w14:paraId="1CBE6C38" w14:textId="77777777" w:rsidTr="00CD2638">
        <w:trPr>
          <w:trHeight w:val="481"/>
          <w:jc w:val="center"/>
        </w:trPr>
        <w:tc>
          <w:tcPr>
            <w:tcW w:w="675" w:type="dxa"/>
            <w:vAlign w:val="center"/>
          </w:tcPr>
          <w:p w14:paraId="396E7538" w14:textId="2AA3356E" w:rsidR="0061248F" w:rsidRPr="00763E8F" w:rsidRDefault="0061248F" w:rsidP="006124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14</w:t>
            </w:r>
          </w:p>
        </w:tc>
        <w:tc>
          <w:tcPr>
            <w:tcW w:w="3524" w:type="dxa"/>
            <w:vAlign w:val="center"/>
          </w:tcPr>
          <w:p w14:paraId="5D93AC39" w14:textId="5245880A" w:rsidR="0061248F" w:rsidRPr="00763E8F" w:rsidRDefault="0061248F" w:rsidP="0061248F">
            <w:pPr>
              <w:spacing w:line="276" w:lineRule="auto"/>
              <w:rPr>
                <w:rFonts w:ascii="Open Sans Light" w:hAnsi="Open Sans Light" w:cs="Open Sans Light"/>
                <w:sz w:val="20"/>
                <w:szCs w:val="20"/>
              </w:rPr>
            </w:pPr>
            <w:r w:rsidRPr="00763E8F">
              <w:rPr>
                <w:rFonts w:ascii="Open Sans Light" w:hAnsi="Open Sans Light" w:cs="Open Sans Light"/>
                <w:b/>
                <w:sz w:val="20"/>
                <w:szCs w:val="20"/>
              </w:rPr>
              <w:t xml:space="preserve">Klauzula </w:t>
            </w:r>
            <w:proofErr w:type="spellStart"/>
            <w:r w:rsidRPr="00763E8F">
              <w:rPr>
                <w:rFonts w:ascii="Open Sans Light" w:hAnsi="Open Sans Light" w:cs="Open Sans Light"/>
                <w:b/>
                <w:sz w:val="20"/>
                <w:szCs w:val="20"/>
              </w:rPr>
              <w:t>delokalizacyjna</w:t>
            </w:r>
            <w:proofErr w:type="spellEnd"/>
          </w:p>
        </w:tc>
        <w:tc>
          <w:tcPr>
            <w:tcW w:w="2317" w:type="dxa"/>
            <w:vAlign w:val="center"/>
          </w:tcPr>
          <w:p w14:paraId="05430078" w14:textId="77777777" w:rsidR="0061248F" w:rsidRPr="00763E8F" w:rsidRDefault="0061248F" w:rsidP="0061248F">
            <w:pPr>
              <w:spacing w:line="276" w:lineRule="auto"/>
              <w:rPr>
                <w:rFonts w:ascii="Open Sans Light" w:hAnsi="Open Sans Light" w:cs="Open Sans Light"/>
                <w:b/>
                <w:sz w:val="20"/>
                <w:szCs w:val="20"/>
              </w:rPr>
            </w:pPr>
          </w:p>
        </w:tc>
        <w:tc>
          <w:tcPr>
            <w:tcW w:w="2583" w:type="dxa"/>
            <w:vAlign w:val="center"/>
          </w:tcPr>
          <w:p w14:paraId="7675B56F" w14:textId="77777777" w:rsidR="0061248F" w:rsidRPr="00763E8F" w:rsidRDefault="0061248F" w:rsidP="0061248F">
            <w:pPr>
              <w:spacing w:line="276" w:lineRule="auto"/>
              <w:rPr>
                <w:rFonts w:ascii="Open Sans Light" w:hAnsi="Open Sans Light" w:cs="Open Sans Light"/>
                <w:b/>
                <w:color w:val="BFBFBF"/>
                <w:sz w:val="20"/>
                <w:szCs w:val="20"/>
              </w:rPr>
            </w:pPr>
          </w:p>
        </w:tc>
      </w:tr>
      <w:tr w:rsidR="0061248F" w:rsidRPr="00763E8F" w14:paraId="0402C907" w14:textId="77777777" w:rsidTr="00CD2638">
        <w:trPr>
          <w:trHeight w:val="481"/>
          <w:jc w:val="center"/>
        </w:trPr>
        <w:tc>
          <w:tcPr>
            <w:tcW w:w="675" w:type="dxa"/>
            <w:vAlign w:val="center"/>
          </w:tcPr>
          <w:p w14:paraId="0E1AEB0C" w14:textId="77777777" w:rsidR="0061248F" w:rsidRPr="00763E8F" w:rsidRDefault="0061248F" w:rsidP="0061248F">
            <w:pPr>
              <w:spacing w:line="276" w:lineRule="auto"/>
              <w:rPr>
                <w:rFonts w:ascii="Open Sans Light" w:hAnsi="Open Sans Light" w:cs="Open Sans Light"/>
                <w:b/>
                <w:sz w:val="20"/>
                <w:szCs w:val="20"/>
              </w:rPr>
            </w:pPr>
          </w:p>
        </w:tc>
        <w:tc>
          <w:tcPr>
            <w:tcW w:w="3524" w:type="dxa"/>
            <w:vAlign w:val="center"/>
          </w:tcPr>
          <w:p w14:paraId="39B7E009" w14:textId="5080C19F" w:rsidR="0061248F" w:rsidRPr="00763E8F" w:rsidRDefault="0061248F" w:rsidP="006124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projekt nie obejmuje działań, które stanowiły część operacji podlegającej przeniesieniu produkcji zgodnie z art. 66 CPR lub które stanowiłyby przeniesienie działalności produkcyjnej zgodnie z art. 65 ust. 1 lit. a) CPR?</w:t>
            </w:r>
          </w:p>
        </w:tc>
        <w:tc>
          <w:tcPr>
            <w:tcW w:w="2317" w:type="dxa"/>
            <w:vAlign w:val="center"/>
          </w:tcPr>
          <w:p w14:paraId="5E1A8758" w14:textId="77777777" w:rsidR="0061248F" w:rsidRPr="00763E8F" w:rsidRDefault="0061248F" w:rsidP="0061248F">
            <w:pPr>
              <w:spacing w:line="276" w:lineRule="auto"/>
              <w:rPr>
                <w:rFonts w:ascii="Open Sans Light" w:hAnsi="Open Sans Light" w:cs="Open Sans Light"/>
                <w:b/>
                <w:sz w:val="20"/>
                <w:szCs w:val="20"/>
              </w:rPr>
            </w:pPr>
          </w:p>
        </w:tc>
        <w:tc>
          <w:tcPr>
            <w:tcW w:w="2583" w:type="dxa"/>
            <w:vAlign w:val="center"/>
          </w:tcPr>
          <w:p w14:paraId="3AC71F26" w14:textId="77777777" w:rsidR="0061248F" w:rsidRPr="00763E8F" w:rsidRDefault="0061248F" w:rsidP="0061248F">
            <w:pPr>
              <w:spacing w:line="276" w:lineRule="auto"/>
              <w:rPr>
                <w:rFonts w:ascii="Open Sans Light" w:hAnsi="Open Sans Light" w:cs="Open Sans Light"/>
                <w:b/>
                <w:color w:val="BFBFBF"/>
                <w:sz w:val="20"/>
                <w:szCs w:val="20"/>
              </w:rPr>
            </w:pPr>
          </w:p>
        </w:tc>
      </w:tr>
      <w:tr w:rsidR="0061248F" w:rsidRPr="00763E8F" w14:paraId="52AD23F1"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16DFA2C9" w14:textId="77BED850" w:rsidR="0061248F" w:rsidRPr="00763E8F" w:rsidRDefault="0061248F" w:rsidP="006124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18</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C74B903" w14:textId="18C622AB" w:rsidR="0061248F" w:rsidRPr="00763E8F" w:rsidRDefault="0061248F" w:rsidP="006124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Poprawność identyfikacji i przypisania wydatków projektu z punktu widzenia ich kwalifikowalności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4EA6036"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E79D354"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095827E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748BA14" w14:textId="77777777" w:rsidR="0061248F" w:rsidRPr="00763E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C176FD4" w14:textId="1E2F2444" w:rsidR="0061248F" w:rsidRPr="00763E8F" w:rsidRDefault="0061248F" w:rsidP="006124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występuje zgodność z zasadami zawartymi w wytycznych w zakresie kwalifikowalności wydatków na lata 2021-2027,SzOP oraz regulaminie wyboru projektów, a także poprawność przypisania wskazanych tam wydatków do właściwych kategorii wydatków kwalifikowalnych?</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A29D455"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1C3A32F"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1960C472" w14:textId="77777777" w:rsidTr="00CD312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49809B9" w14:textId="5EEFFBC1" w:rsidR="0061248F" w:rsidRPr="00763E8F" w:rsidRDefault="0061248F" w:rsidP="006124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19</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7B9D845" w14:textId="51FE9FA5" w:rsidR="0061248F" w:rsidRPr="00763E8F" w:rsidRDefault="0061248F" w:rsidP="0061248F">
            <w:pPr>
              <w:spacing w:line="276" w:lineRule="auto"/>
              <w:rPr>
                <w:rFonts w:ascii="Open Sans Light" w:hAnsi="Open Sans Light" w:cs="Open Sans Light"/>
                <w:b/>
                <w:bCs/>
                <w:sz w:val="20"/>
                <w:szCs w:val="20"/>
              </w:rPr>
            </w:pPr>
            <w:r w:rsidRPr="00763E8F">
              <w:rPr>
                <w:rFonts w:ascii="Open Sans Light" w:hAnsi="Open Sans Light" w:cs="Open Sans Light"/>
                <w:b/>
                <w:bCs/>
                <w:sz w:val="20"/>
                <w:szCs w:val="20"/>
              </w:rPr>
              <w:t>Zgodność projektu z zasadami równości szans, włączenia społecznego i niedyskryminacji</w:t>
            </w:r>
            <w:r>
              <w:rPr>
                <w:rStyle w:val="Odwoanieprzypisudolnego"/>
                <w:rFonts w:ascii="Open Sans Light" w:hAnsi="Open Sans Light"/>
                <w:b/>
                <w:bCs/>
                <w:sz w:val="20"/>
                <w:szCs w:val="20"/>
              </w:rPr>
              <w:footnoteReference w:id="2"/>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3FAAB5A5"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30747F9"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31787571" w14:textId="77777777" w:rsidTr="00CD312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05D0A9A" w14:textId="77777777" w:rsidR="0061248F" w:rsidRPr="00763E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C6C90D4" w14:textId="27B401A9" w:rsidR="0061248F" w:rsidRPr="00763E8F" w:rsidRDefault="0061248F" w:rsidP="006124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działania związane z realizacją projektu, a także wszystkie produkty związane z funkcjonowaniem projektu po okresie jego realizacji, w tym działania informacyjne i promocyjne, są realizowane z poszanowaniem zasad równościowych związanych z zapobieganiem wszelkiej dyskryminacji, m.in. ze względu na: płeć, rasę, kolor skóry, pochodzenie etniczne lub społeczne, cechy genetyczne, język, religię, światopogląd, przynależność narodową, majątek, urodzenie, niepełnosprawność, wiek lub orientację seksualną?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6BFD21E1"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909A128"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601B93F5" w14:textId="77777777" w:rsidTr="00DB2655">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C363EF" w14:textId="77777777" w:rsidR="0061248F" w:rsidRPr="00763E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3DDC3C1" w14:textId="6A0CBAE1" w:rsidR="0061248F" w:rsidRPr="00763E8F" w:rsidRDefault="0061248F" w:rsidP="006124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Wnioskodawca wykazał, że projekt będzie miał pozytywny wpływ na zasadę równości szans i niedyskryminacji, w tym dostępności dla osób z niepełnoprawnościami?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DABADBC"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E34F158"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064DD19A" w14:textId="77777777" w:rsidTr="00DB2655">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4E926A6" w14:textId="77777777" w:rsidR="0061248F" w:rsidRPr="00763E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2F7CA059" w14:textId="0CECA1BE" w:rsidR="0061248F" w:rsidRPr="00763E8F" w:rsidRDefault="0061248F" w:rsidP="006124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Projekt jest zgodny z zasadą równości kobiet i mężczyzn. Przez zgodność z tą zasadą należy rozumieć, z jednej strony zaplanowanie takich działań w projekcie, które wpłyną na wyrównywanie szans danej płci będącej w gorszym położeniu światopogląd, przynależność narodową, majątek, urodzenie, niepełnosprawność, wiek lub orientację seksualną?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B203B7D"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7E971D59"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2747E7AC"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3E37D4" w14:textId="11E1D37A" w:rsidR="0061248F" w:rsidRPr="00763E8F" w:rsidRDefault="0061248F" w:rsidP="006124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20</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EF0C0AA" w14:textId="6EA86DF5" w:rsidR="0061248F" w:rsidRPr="00763E8F" w:rsidRDefault="0061248F" w:rsidP="006124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Zgodność projektu z Kartą Praw Podstawowych Unii Europejskie</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251C3551"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6362C22"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496F9761"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C8F8ABA" w14:textId="77777777" w:rsidR="0061248F" w:rsidRPr="00763E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028CB0F6" w14:textId="77777777" w:rsidR="0061248F" w:rsidRPr="00763E8F" w:rsidRDefault="0061248F" w:rsidP="006124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występuje zgodność projektu z Kartą Praw Podstawowych Unii Europejskiej z dnia 26 października 2012 r. w zakresie odnoszącym się do sposobu realizacji i zakresu projektu?</w:t>
            </w:r>
            <w:r w:rsidRPr="00763E8F">
              <w:rPr>
                <w:rFonts w:ascii="Open Sans Light" w:hAnsi="Open Sans Light" w:cs="Open Sans Light"/>
                <w:sz w:val="20"/>
                <w:szCs w:val="20"/>
              </w:rPr>
              <w:br/>
            </w:r>
          </w:p>
          <w:p w14:paraId="79C9C1DB" w14:textId="0B3078AA" w:rsidR="0061248F" w:rsidRPr="00763E8F" w:rsidRDefault="0061248F" w:rsidP="0061248F">
            <w:pPr>
              <w:spacing w:line="276" w:lineRule="auto"/>
              <w:rPr>
                <w:rFonts w:ascii="Open Sans Light" w:hAnsi="Open Sans Light" w:cs="Open Sans Light"/>
                <w:sz w:val="20"/>
                <w:szCs w:val="20"/>
              </w:rPr>
            </w:pPr>
            <w:r w:rsidRPr="00763E8F">
              <w:rPr>
                <w:rFonts w:ascii="Open Sans Light" w:hAnsi="Open Sans Light" w:cs="Open Sans Light"/>
                <w:sz w:val="20"/>
                <w:szCs w:val="20"/>
              </w:rPr>
              <w:t>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C1EE8EB"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8DA4AAC"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5CF6008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90F377B" w14:textId="10DAA672" w:rsidR="0061248F" w:rsidRPr="00763E8F" w:rsidRDefault="0061248F" w:rsidP="006124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21</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7D06252" w14:textId="7E31B65C" w:rsidR="0061248F" w:rsidRPr="00763E8F" w:rsidRDefault="0061248F" w:rsidP="006124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b/>
                <w:bCs/>
                <w:sz w:val="20"/>
                <w:szCs w:val="20"/>
                <w:lang w:eastAsia="ar-SA"/>
              </w:rPr>
              <w:t xml:space="preserve">Zgodność projektu z Konwencją </w:t>
            </w:r>
            <w:r w:rsidRPr="00763E8F">
              <w:rPr>
                <w:rFonts w:ascii="Open Sans Light" w:hAnsi="Open Sans Light" w:cs="Open Sans Light"/>
                <w:b/>
                <w:bCs/>
                <w:sz w:val="20"/>
                <w:szCs w:val="20"/>
                <w:lang w:eastAsia="ar-SA"/>
              </w:rPr>
              <w:br/>
              <w:t>o Prawach Osób Niepełnosprawnych.</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058A833"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74398025"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5F758EB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8573F1C" w14:textId="77777777" w:rsidR="0061248F" w:rsidRPr="00763E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3122556" w14:textId="77777777" w:rsidR="0061248F" w:rsidRPr="00763E8F" w:rsidRDefault="0061248F" w:rsidP="006124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występuje zgodność projektu </w:t>
            </w:r>
            <w:r w:rsidRPr="00763E8F">
              <w:rPr>
                <w:rFonts w:ascii="Open Sans Light" w:hAnsi="Open Sans Light" w:cs="Open Sans Light"/>
                <w:sz w:val="20"/>
                <w:szCs w:val="20"/>
              </w:rPr>
              <w:br/>
              <w:t>z Konwencją o Prawach Osób Niepełnosprawnych z dnia 13 grudnia 2006 r. w zakresie odnoszącym się do sposobu realizacji i zakresu projektu?</w:t>
            </w:r>
          </w:p>
          <w:p w14:paraId="461D14C6" w14:textId="229F83FE" w:rsidR="0061248F" w:rsidRPr="00763E8F" w:rsidRDefault="0061248F" w:rsidP="006124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sz w:val="20"/>
                <w:szCs w:val="20"/>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64B2D6A8"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BE1C5FF"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3ADCEBD0"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D12F905" w14:textId="28D71493" w:rsidR="0061248F" w:rsidRPr="00763E8F" w:rsidRDefault="0061248F" w:rsidP="0061248F">
            <w:pPr>
              <w:spacing w:line="276" w:lineRule="auto"/>
              <w:rPr>
                <w:rFonts w:ascii="Open Sans Light" w:hAnsi="Open Sans Light" w:cs="Open Sans Light"/>
                <w:b/>
                <w:sz w:val="20"/>
                <w:szCs w:val="20"/>
              </w:rPr>
            </w:pPr>
            <w:r>
              <w:rPr>
                <w:rFonts w:ascii="Open Sans Light" w:hAnsi="Open Sans Light" w:cs="Open Sans Light"/>
                <w:b/>
                <w:sz w:val="20"/>
                <w:szCs w:val="20"/>
              </w:rPr>
              <w:t>22</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BE81D0B" w14:textId="3C76A21C" w:rsidR="0061248F" w:rsidRPr="00C82EA5" w:rsidRDefault="0061248F" w:rsidP="0061248F">
            <w:pPr>
              <w:spacing w:line="276" w:lineRule="auto"/>
              <w:rPr>
                <w:rFonts w:ascii="Open Sans Light" w:hAnsi="Open Sans Light" w:cs="Open Sans Light"/>
                <w:b/>
                <w:bCs/>
                <w:sz w:val="20"/>
                <w:szCs w:val="20"/>
              </w:rPr>
            </w:pPr>
            <w:r w:rsidRPr="00C82EA5">
              <w:rPr>
                <w:rFonts w:ascii="Open Sans Light" w:hAnsi="Open Sans Light" w:cs="Open Sans Light"/>
                <w:b/>
                <w:bCs/>
                <w:sz w:val="20"/>
                <w:szCs w:val="20"/>
              </w:rPr>
              <w:t>Zgodność projektu z klauzulą niedyskryminacyjną.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2AEFBDF"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E0181CA"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02892BB5"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56ED952" w14:textId="77777777" w:rsidR="006124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E97595E" w14:textId="645762C8" w:rsidR="0061248F" w:rsidRPr="00C82EA5" w:rsidRDefault="0061248F" w:rsidP="0061248F">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Czy jest zgodność projektu z wymogami klauzuli niedyskryminacyjnej, która stanowi, że wsparcie ze środków polityki spójności będzie udzielane wyłącznie </w:t>
            </w:r>
            <w:r w:rsidRPr="00C82EA5">
              <w:rPr>
                <w:rFonts w:ascii="Open Sans Light" w:hAnsi="Open Sans Light" w:cs="Open Sans Light"/>
                <w:sz w:val="20"/>
                <w:szCs w:val="20"/>
              </w:rPr>
              <w:lastRenderedPageBreak/>
              <w:t>projektom i beneficjentom, którzy przestrzegają przepisów antydyskryminacyjnych, o których mowa w art. 9 ust. 3 Rozporządzenia PE i Rady nr 2021/1060. W przypadku, gdy wnioskodawcą/beneficjentem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0E8716B0" w14:textId="77777777" w:rsidR="0061248F" w:rsidRDefault="0061248F" w:rsidP="0061248F">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W przypadku, gdy wnioskodawcą jest jednostka samorządu terytorialnego (lub podmiot przez nią kontrolowany lub od niej zależny) sprawdzane jest dodatkowo, czy wnioskodawca ten podjął jakiekolwiek działania dyskryminujące, sprzeczne z zasadami, o których mowa w art. 9 ust. 3 rozporządzenia 2021/1060. W szczególności sprawdzane jest, czy na terenie jednostki samorządu terytorialnego (która jest wnioskodawcą lub której podmiot przez nią kontrolowany lub od niej zależny jest wnioskodawcą) nie obowiązują żadne ustanowione przez organy tej jednostki samorządu terytorialnego dyskryminujące akty prawa miejscowego lub podjęte dyskryminujące uchwały3, na dowód czego wnioskodawca (niezależnie od tego, czy jest jednostką samorządu terytorialnego, czy podmiotem przez nią kontrolowanym lub od niej zależnym) złożył oświadczenie </w:t>
            </w:r>
          </w:p>
          <w:p w14:paraId="4E307926" w14:textId="77777777" w:rsidR="0061248F" w:rsidRPr="00C82EA5" w:rsidRDefault="0061248F" w:rsidP="0061248F">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W przypadku projektów partnerskich lub projektów których </w:t>
            </w:r>
            <w:r w:rsidRPr="00C82EA5">
              <w:rPr>
                <w:rFonts w:ascii="Open Sans Light" w:hAnsi="Open Sans Light" w:cs="Open Sans Light"/>
                <w:sz w:val="20"/>
                <w:szCs w:val="20"/>
              </w:rPr>
              <w:lastRenderedPageBreak/>
              <w:t>wnioskodawcami są związki komunalne, spełnienie powyższych warunków będzie weryfikowane zarówno wobec wnioskodawcy, jak i każdej wchodzącej w skład partnerstwa jednostki samorządu terytorialnego lub podmiotu przez nią kontrolowanego lub od niej zależnego (partnerów projektu partnerskiego), na podstawie oświadczeń złożonych przez każdą ze stron. Jeśli w skład partnerstwa wchodzi jednostka samorządu terytorialnego, na terenie której obowiązują ustanowione przez jej organy dyskryminujące akty prawa miejscowego lub dyskryminujące uchwały (lub podmiot przez nią kontrolowany lub od niej zależny), to koszty projektu w części ponoszonej przez tego partnera nie mogą być uznane za kwalifikowane, tj. w budżecie projektu należy je uwzględnić jako wydatki niekwalifikowane.</w:t>
            </w:r>
          </w:p>
          <w:p w14:paraId="2893F782" w14:textId="34A48777" w:rsidR="0061248F" w:rsidRPr="00C82EA5" w:rsidRDefault="0061248F" w:rsidP="0061248F">
            <w:pPr>
              <w:spacing w:line="276" w:lineRule="auto"/>
              <w:rPr>
                <w:rFonts w:ascii="Open Sans Light" w:hAnsi="Open Sans Light" w:cs="Open Sans Light"/>
                <w:sz w:val="20"/>
                <w:szCs w:val="20"/>
              </w:rPr>
            </w:pPr>
            <w:r w:rsidRPr="00C82EA5">
              <w:rPr>
                <w:rFonts w:ascii="Open Sans Light" w:hAnsi="Open Sans Light" w:cs="Open Sans Light"/>
                <w:sz w:val="20"/>
                <w:szCs w:val="20"/>
              </w:rPr>
              <w:t>Złożone ww. oświadczenie będzie weryfikowane na podstawie uzasadnienia przedstawionego przez wnioskodawcę we wniosku o dofinansowanie oraz w oparciu o informacje Rzecznika Praw Obywatelskich na temat jednostek samorządu terytorialnego, które ustanowiły dyskryminujące akty prawa miejscowego oraz nie dokonały ich modyfikacji ani uchylenia.</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F8AEC19" w14:textId="77777777" w:rsidR="0061248F" w:rsidRPr="00C82EA5" w:rsidRDefault="0061248F" w:rsidP="0061248F">
            <w:pPr>
              <w:spacing w:line="276" w:lineRule="auto"/>
              <w:rPr>
                <w:rFonts w:ascii="Open Sans Light" w:hAnsi="Open Sans Light" w:cs="Open Sans Light"/>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F906BED" w14:textId="77777777" w:rsidR="0061248F" w:rsidRPr="00C82EA5" w:rsidRDefault="0061248F" w:rsidP="0061248F">
            <w:pPr>
              <w:spacing w:line="276" w:lineRule="auto"/>
              <w:rPr>
                <w:rFonts w:ascii="Open Sans Light" w:hAnsi="Open Sans Light" w:cs="Open Sans Light"/>
                <w:sz w:val="20"/>
                <w:szCs w:val="20"/>
              </w:rPr>
            </w:pPr>
          </w:p>
        </w:tc>
      </w:tr>
      <w:tr w:rsidR="0061248F" w:rsidRPr="00763E8F" w14:paraId="38B0B841" w14:textId="77777777" w:rsidTr="00242A74">
        <w:trPr>
          <w:trHeight w:val="481"/>
          <w:jc w:val="center"/>
        </w:trPr>
        <w:tc>
          <w:tcPr>
            <w:tcW w:w="909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864FD1" w14:textId="116C57F0" w:rsidR="0061248F" w:rsidRPr="00763E8F" w:rsidRDefault="0061248F" w:rsidP="006124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lastRenderedPageBreak/>
              <w:t>Kryteria specyficzne</w:t>
            </w:r>
          </w:p>
        </w:tc>
      </w:tr>
      <w:tr w:rsidR="0061248F" w:rsidRPr="00763E8F" w14:paraId="0E7E315F"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A5241BC" w14:textId="3BCE1E77" w:rsidR="0061248F" w:rsidRPr="00763E8F" w:rsidRDefault="0061248F" w:rsidP="0061248F">
            <w:pPr>
              <w:spacing w:line="276" w:lineRule="auto"/>
              <w:jc w:val="center"/>
              <w:rPr>
                <w:rFonts w:ascii="Open Sans Light" w:hAnsi="Open Sans Light" w:cs="Open Sans Light"/>
                <w:b/>
                <w:sz w:val="20"/>
                <w:szCs w:val="20"/>
              </w:rPr>
            </w:pPr>
            <w:r>
              <w:rPr>
                <w:rFonts w:ascii="Open Sans Light" w:hAnsi="Open Sans Light" w:cs="Open Sans Light"/>
                <w:b/>
                <w:sz w:val="20"/>
                <w:szCs w:val="20"/>
              </w:rPr>
              <w:t>4</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0B084DE" w14:textId="6EA003FC" w:rsidR="0061248F" w:rsidRPr="00763E8F" w:rsidRDefault="0061248F" w:rsidP="0061248F">
            <w:pPr>
              <w:snapToGrid w:val="0"/>
              <w:spacing w:before="120" w:after="120" w:line="276" w:lineRule="auto"/>
              <w:rPr>
                <w:rFonts w:ascii="Open Sans Light" w:hAnsi="Open Sans Light" w:cs="Open Sans Light"/>
                <w:b/>
                <w:bCs/>
                <w:sz w:val="20"/>
                <w:szCs w:val="20"/>
                <w:lang w:eastAsia="ar-SA"/>
              </w:rPr>
            </w:pPr>
            <w:r w:rsidRPr="00652FC8">
              <w:rPr>
                <w:rFonts w:ascii="Open Sans Light" w:hAnsi="Open Sans Light" w:cs="Open Sans Light"/>
                <w:b/>
                <w:sz w:val="20"/>
                <w:szCs w:val="20"/>
              </w:rPr>
              <w:t>Kompleksowość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EE5FBA2"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7F35E87"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6E79047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4CC5F72" w14:textId="77777777" w:rsidR="0061248F" w:rsidRPr="00763E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66C7E9B" w14:textId="2B5E4B07" w:rsidR="0061248F" w:rsidRPr="00652FC8" w:rsidRDefault="0061248F" w:rsidP="0061248F">
            <w:pPr>
              <w:snapToGrid w:val="0"/>
              <w:spacing w:before="120" w:line="276" w:lineRule="auto"/>
              <w:rPr>
                <w:rFonts w:ascii="Open Sans Light" w:hAnsi="Open Sans Light" w:cs="Open Sans Light"/>
                <w:sz w:val="20"/>
                <w:szCs w:val="20"/>
                <w:lang w:eastAsia="ar-SA"/>
              </w:rPr>
            </w:pPr>
            <w:r>
              <w:rPr>
                <w:rFonts w:ascii="Open Sans Light" w:hAnsi="Open Sans Light" w:cs="Open Sans Light"/>
                <w:sz w:val="20"/>
                <w:szCs w:val="20"/>
                <w:lang w:eastAsia="ar-SA"/>
              </w:rPr>
              <w:t>C</w:t>
            </w:r>
            <w:r w:rsidRPr="00652FC8">
              <w:rPr>
                <w:rFonts w:ascii="Open Sans Light" w:hAnsi="Open Sans Light" w:cs="Open Sans Light"/>
                <w:sz w:val="20"/>
                <w:szCs w:val="20"/>
                <w:lang w:eastAsia="ar-SA"/>
              </w:rPr>
              <w:t xml:space="preserve">zy wnioskodawca, po usunięciu odpadów, zobowiązał się do doprowadzenia powierzchni ziemi, </w:t>
            </w:r>
            <w:r w:rsidRPr="00652FC8">
              <w:rPr>
                <w:rFonts w:ascii="Open Sans Light" w:hAnsi="Open Sans Light" w:cs="Open Sans Light"/>
                <w:sz w:val="20"/>
                <w:szCs w:val="20"/>
                <w:lang w:eastAsia="ar-SA"/>
              </w:rPr>
              <w:lastRenderedPageBreak/>
              <w:t xml:space="preserve">obiektów lub akwenów, poprzez rekultywację, dekontaminację lub </w:t>
            </w:r>
            <w:proofErr w:type="spellStart"/>
            <w:r w:rsidRPr="00652FC8">
              <w:rPr>
                <w:rFonts w:ascii="Open Sans Light" w:hAnsi="Open Sans Light" w:cs="Open Sans Light"/>
                <w:sz w:val="20"/>
                <w:szCs w:val="20"/>
                <w:lang w:eastAsia="ar-SA"/>
              </w:rPr>
              <w:t>remediację</w:t>
            </w:r>
            <w:proofErr w:type="spellEnd"/>
            <w:r w:rsidRPr="00652FC8">
              <w:rPr>
                <w:rFonts w:ascii="Open Sans Light" w:hAnsi="Open Sans Light" w:cs="Open Sans Light"/>
                <w:sz w:val="20"/>
                <w:szCs w:val="20"/>
                <w:lang w:eastAsia="ar-SA"/>
              </w:rPr>
              <w:t>, do stanu umożliwiającego wykorzystanie tych miejsc na cele przyrodnicze, publiczne, społeczne lub gospodarcze.</w:t>
            </w:r>
          </w:p>
          <w:p w14:paraId="3B41F427" w14:textId="77777777" w:rsidR="0061248F" w:rsidRPr="00652FC8" w:rsidRDefault="0061248F" w:rsidP="0061248F">
            <w:pPr>
              <w:snapToGrid w:val="0"/>
              <w:spacing w:before="120" w:line="276" w:lineRule="auto"/>
              <w:rPr>
                <w:rFonts w:ascii="Open Sans Light" w:hAnsi="Open Sans Light" w:cs="Open Sans Light"/>
                <w:sz w:val="20"/>
                <w:szCs w:val="20"/>
                <w:lang w:eastAsia="ar-SA"/>
              </w:rPr>
            </w:pPr>
            <w:r w:rsidRPr="00652FC8">
              <w:rPr>
                <w:rFonts w:ascii="Open Sans Light" w:hAnsi="Open Sans Light" w:cs="Open Sans Light"/>
                <w:sz w:val="20"/>
                <w:szCs w:val="20"/>
                <w:lang w:eastAsia="ar-SA"/>
              </w:rPr>
              <w:t>W przypadku wykorzystania na cele gospodarcze (jeżeli przeznaczenie na inne rodzaje działań nie jest możliwe ze względu na poziom zanieczyszczenia lub względy związane z ładem przestrzennym i zrównoważonym rozwojem), musi ono wnosić istotny wkład w realizację co najmniej jednego celu środowiskowego w rozumieniu Rozporządzenia Taksonomii (Rozporządzenie Parlamentu Europejskiego i Rady (UE) 2020/852 z dnia 18 czerwca 2020 r. w sprawie ustanowienia ram ułatwiających zrównoważone inwestycje, zmieniające rozporządzenie (UE) 2019/2088).</w:t>
            </w:r>
          </w:p>
          <w:p w14:paraId="4F765CAC" w14:textId="6C403FAD" w:rsidR="0061248F" w:rsidRPr="00630934" w:rsidRDefault="0061248F" w:rsidP="0061248F">
            <w:pPr>
              <w:snapToGrid w:val="0"/>
              <w:spacing w:before="120" w:line="276" w:lineRule="auto"/>
              <w:rPr>
                <w:rFonts w:ascii="Open Sans Light" w:hAnsi="Open Sans Light" w:cs="Open Sans Light"/>
                <w:sz w:val="20"/>
                <w:szCs w:val="20"/>
                <w:lang w:eastAsia="ar-SA"/>
              </w:rPr>
            </w:pPr>
            <w:r w:rsidRPr="00652FC8">
              <w:rPr>
                <w:rFonts w:ascii="Open Sans Light" w:hAnsi="Open Sans Light" w:cs="Open Sans Light"/>
                <w:sz w:val="20"/>
                <w:szCs w:val="20"/>
                <w:lang w:eastAsia="ar-SA"/>
              </w:rPr>
              <w:t>Kryterium zostanie uznane również za spełnione, jeżeli oczyszczony teren będzie wykorzystywany zgodnie z założeniami obowiązującego miejscowego planu zagospodarowania przestrzennego dla danej lokalizacji, lub wnioskodawca projektu nie będzie posiadał kompetencji prawnych do określenia sposobu przeznaczenia terenu na cele, o których mowa powyżej.</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ACE1E89"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20761E66"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57FCE020"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6E78511F" w14:textId="1D7D803E" w:rsidR="0061248F" w:rsidRPr="00763E8F" w:rsidRDefault="0061248F" w:rsidP="0061248F">
            <w:pPr>
              <w:spacing w:line="276" w:lineRule="auto"/>
              <w:jc w:val="center"/>
              <w:rPr>
                <w:rFonts w:ascii="Open Sans Light" w:hAnsi="Open Sans Light" w:cs="Open Sans Light"/>
                <w:b/>
                <w:sz w:val="20"/>
                <w:szCs w:val="20"/>
              </w:rPr>
            </w:pPr>
            <w:r>
              <w:rPr>
                <w:rFonts w:ascii="Open Sans Light" w:hAnsi="Open Sans Light" w:cs="Open Sans Light"/>
                <w:b/>
                <w:sz w:val="20"/>
                <w:szCs w:val="20"/>
              </w:rPr>
              <w:t>5</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8CD128B" w14:textId="55395C03" w:rsidR="0061248F" w:rsidRPr="00763E8F" w:rsidRDefault="0061248F" w:rsidP="0061248F">
            <w:pPr>
              <w:snapToGrid w:val="0"/>
              <w:spacing w:before="120" w:after="120" w:line="276" w:lineRule="auto"/>
              <w:rPr>
                <w:rFonts w:ascii="Open Sans Light" w:hAnsi="Open Sans Light" w:cs="Open Sans Light"/>
                <w:b/>
                <w:bCs/>
                <w:sz w:val="20"/>
                <w:szCs w:val="20"/>
                <w:lang w:eastAsia="ar-SA"/>
              </w:rPr>
            </w:pPr>
            <w:r w:rsidRPr="00652FC8">
              <w:rPr>
                <w:rFonts w:ascii="Open Sans Light" w:hAnsi="Open Sans Light" w:cs="Open Sans Light"/>
                <w:b/>
                <w:bCs/>
                <w:sz w:val="20"/>
                <w:szCs w:val="20"/>
                <w:lang w:eastAsia="ar-SA"/>
              </w:rPr>
              <w:t>Wnioskodawca posiada decyzje administracyjne warunkujące rozpoczęcie realizacji podstawowego zakresu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E4D10C7"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D895133"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5270677B"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64801DD4" w14:textId="77777777" w:rsidR="0061248F" w:rsidRPr="00763E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B3B69B4" w14:textId="67939388" w:rsidR="0061248F" w:rsidRPr="00763E8F" w:rsidRDefault="0061248F" w:rsidP="0061248F">
            <w:pPr>
              <w:spacing w:line="276" w:lineRule="auto"/>
              <w:rPr>
                <w:rFonts w:ascii="Open Sans Light" w:hAnsi="Open Sans Light" w:cs="Open Sans Light"/>
                <w:sz w:val="20"/>
                <w:szCs w:val="20"/>
              </w:rPr>
            </w:pPr>
            <w:r>
              <w:rPr>
                <w:rFonts w:ascii="Open Sans Light" w:hAnsi="Open Sans Light" w:cs="Open Sans Light"/>
                <w:sz w:val="20"/>
                <w:szCs w:val="20"/>
              </w:rPr>
              <w:t>C</w:t>
            </w:r>
            <w:r w:rsidRPr="00652FC8">
              <w:rPr>
                <w:rFonts w:ascii="Open Sans Light" w:hAnsi="Open Sans Light" w:cs="Open Sans Light"/>
                <w:sz w:val="20"/>
                <w:szCs w:val="20"/>
              </w:rPr>
              <w:t>zy wnioskodawca posiada ostateczne decyzje administracyjne warunkujące możliwość rozpoczęcia realizacji podstawowego zakresu projektu (o ile istnieje obowiązek uzyskania konkretnej decyzji)</w:t>
            </w:r>
            <w:r>
              <w:rPr>
                <w:rFonts w:ascii="Open Sans Light" w:hAnsi="Open Sans Light" w:cs="Open Sans Light"/>
                <w:sz w:val="20"/>
                <w:szCs w:val="20"/>
              </w:rPr>
              <w:t>? W szczególności warunek dotyczy posiadania decyzji wydanej</w:t>
            </w:r>
            <w:r w:rsidRPr="00A8537C">
              <w:rPr>
                <w:rFonts w:ascii="Open Sans Light" w:hAnsi="Open Sans Light" w:cs="Open Sans Light"/>
                <w:sz w:val="20"/>
                <w:szCs w:val="20"/>
              </w:rPr>
              <w:t xml:space="preserve"> na podstawie art. 26a ustawy o odpadach</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715300FE"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85A11FA"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597EC22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7096C44" w14:textId="22275A50" w:rsidR="0061248F" w:rsidRPr="00630934" w:rsidRDefault="0061248F" w:rsidP="0061248F">
            <w:pPr>
              <w:spacing w:line="276" w:lineRule="auto"/>
              <w:rPr>
                <w:rFonts w:ascii="Open Sans Light" w:hAnsi="Open Sans Light" w:cs="Open Sans Light"/>
                <w:b/>
                <w:sz w:val="20"/>
                <w:szCs w:val="20"/>
              </w:rPr>
            </w:pPr>
            <w:r>
              <w:rPr>
                <w:rFonts w:ascii="Open Sans Light" w:hAnsi="Open Sans Light" w:cs="Open Sans Light"/>
                <w:b/>
                <w:sz w:val="20"/>
                <w:szCs w:val="20"/>
              </w:rPr>
              <w:t>6</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F8B5D66" w14:textId="664966EC" w:rsidR="0061248F" w:rsidRPr="00630934" w:rsidRDefault="0061248F" w:rsidP="0061248F">
            <w:pPr>
              <w:spacing w:line="276" w:lineRule="auto"/>
              <w:rPr>
                <w:rFonts w:ascii="Open Sans Light" w:hAnsi="Open Sans Light" w:cs="Open Sans Light"/>
                <w:b/>
                <w:sz w:val="20"/>
                <w:szCs w:val="20"/>
              </w:rPr>
            </w:pPr>
            <w:r w:rsidRPr="00652FC8">
              <w:rPr>
                <w:rFonts w:ascii="Open Sans Light" w:hAnsi="Open Sans Light" w:cs="Open Sans Light"/>
                <w:b/>
                <w:sz w:val="20"/>
                <w:szCs w:val="20"/>
              </w:rPr>
              <w:t>Celowość działań z uwzględnieniem zasady „zanieczyszczający płaci”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08ACCB9"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27DCB7AA"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7ACB3524"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9EEEECA" w14:textId="77777777" w:rsidR="0061248F" w:rsidRPr="00763E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539C7305" w14:textId="77777777" w:rsidR="0061248F" w:rsidRPr="00652FC8" w:rsidRDefault="0061248F" w:rsidP="0061248F">
            <w:pPr>
              <w:spacing w:line="276" w:lineRule="auto"/>
              <w:rPr>
                <w:rFonts w:ascii="Open Sans Light" w:hAnsi="Open Sans Light" w:cs="Open Sans Light"/>
                <w:sz w:val="20"/>
                <w:szCs w:val="20"/>
              </w:rPr>
            </w:pPr>
            <w:r w:rsidRPr="00652FC8">
              <w:rPr>
                <w:rFonts w:ascii="Open Sans Light" w:hAnsi="Open Sans Light" w:cs="Open Sans Light"/>
                <w:sz w:val="20"/>
                <w:szCs w:val="20"/>
              </w:rPr>
              <w:t>Kryterium uznaje się za spełnione, jeżeli podmiot odpowiedzialny za gospodarowanie odpadami nie może zostać zidentyfikowany lub nie można wszcząć wobec niego postępowania egzekucyjnego, lub egzekucja okazała się bezskuteczna lub działania w tym zakresie nie zostały zakończone oraz potwierdzone zostało zagrożenie dla zdrowia lub życia</w:t>
            </w:r>
            <w:r>
              <w:rPr>
                <w:rFonts w:ascii="Open Sans Light" w:hAnsi="Open Sans Light" w:cs="Open Sans Light"/>
                <w:sz w:val="20"/>
                <w:szCs w:val="20"/>
              </w:rPr>
              <w:t xml:space="preserve"> </w:t>
            </w:r>
            <w:r w:rsidRPr="00652FC8">
              <w:rPr>
                <w:rFonts w:ascii="Open Sans Light" w:hAnsi="Open Sans Light" w:cs="Open Sans Light"/>
                <w:sz w:val="20"/>
                <w:szCs w:val="20"/>
              </w:rPr>
              <w:t>ludzi lub możliwość zaistnienia nieodwracalnych szkód w środowisku, uzasadniające konieczność niezwłocznego podjęcia działań w ramach projektu.</w:t>
            </w:r>
          </w:p>
          <w:p w14:paraId="33F577CF" w14:textId="13102DB0" w:rsidR="0061248F" w:rsidRPr="00652FC8" w:rsidRDefault="0061248F" w:rsidP="0061248F">
            <w:pPr>
              <w:spacing w:before="120" w:line="276" w:lineRule="auto"/>
              <w:rPr>
                <w:rFonts w:ascii="Open Sans Light" w:hAnsi="Open Sans Light" w:cs="Open Sans Light"/>
                <w:sz w:val="20"/>
                <w:szCs w:val="20"/>
              </w:rPr>
            </w:pPr>
            <w:r w:rsidRPr="00652FC8">
              <w:rPr>
                <w:rFonts w:ascii="Open Sans Light" w:hAnsi="Open Sans Light" w:cs="Open Sans Light"/>
                <w:sz w:val="20"/>
                <w:szCs w:val="20"/>
              </w:rPr>
              <w:t xml:space="preserve">W przypadku trwających działań mających na celu identyfikację/pociągnięcie do odpowiedzialności prawnej i finansowej podmiotu odpowiedzialnego za gospodarowanie odpadami lub uzyskanie w przyszłości informacji pozwalających na jego identyfikację, beneficjent zobowiązuje się do wykazania, że działania te nadal nie zostały zakończone, albo że podmiot odpowiedzialny za gospodarowanie odpadami nie może zostać zidentyfikowany lub nie można wszcząć wobec niego postępowania </w:t>
            </w:r>
            <w:r w:rsidRPr="00652FC8">
              <w:rPr>
                <w:rFonts w:ascii="Open Sans Light" w:hAnsi="Open Sans Light" w:cs="Open Sans Light"/>
                <w:sz w:val="20"/>
                <w:szCs w:val="20"/>
              </w:rPr>
              <w:lastRenderedPageBreak/>
              <w:t>egzekucyjnego, lub egzekucja okazała się bezskuteczna.</w:t>
            </w:r>
          </w:p>
          <w:p w14:paraId="6B0216BD" w14:textId="7E869D4F" w:rsidR="0061248F" w:rsidRPr="00652FC8" w:rsidRDefault="0061248F" w:rsidP="0061248F">
            <w:pPr>
              <w:spacing w:before="120" w:line="276" w:lineRule="auto"/>
              <w:rPr>
                <w:rFonts w:ascii="Open Sans Light" w:hAnsi="Open Sans Light" w:cs="Open Sans Light"/>
                <w:sz w:val="20"/>
                <w:szCs w:val="20"/>
              </w:rPr>
            </w:pPr>
            <w:r w:rsidRPr="00652FC8">
              <w:rPr>
                <w:rFonts w:ascii="Open Sans Light" w:hAnsi="Open Sans Light" w:cs="Open Sans Light"/>
                <w:sz w:val="20"/>
                <w:szCs w:val="20"/>
              </w:rPr>
              <w:t>W przypadku nie wykazania wystąpienia okoliczności, o których mowa w paragrafie poprzedzającym przed dniem 31 grudnia 2029 r., wsparcie uzyskane na realizację projektu podlega zwrotowi.</w:t>
            </w:r>
          </w:p>
          <w:p w14:paraId="5E4BC15A" w14:textId="00820803" w:rsidR="0061248F" w:rsidRDefault="0061248F" w:rsidP="0061248F">
            <w:pPr>
              <w:spacing w:before="120" w:line="276" w:lineRule="auto"/>
              <w:rPr>
                <w:rFonts w:ascii="Open Sans Light" w:hAnsi="Open Sans Light" w:cs="Open Sans Light"/>
                <w:sz w:val="20"/>
                <w:szCs w:val="20"/>
              </w:rPr>
            </w:pPr>
            <w:r w:rsidRPr="00652FC8">
              <w:rPr>
                <w:rFonts w:ascii="Open Sans Light" w:hAnsi="Open Sans Light" w:cs="Open Sans Light"/>
                <w:sz w:val="20"/>
                <w:szCs w:val="20"/>
              </w:rPr>
              <w:t>W przypadku częściowego lub całkowitego zwrotu kosztów usunięcia odpadów przez podmiot odpowiedzialny za spowodowanie zanieczyszczenia w terminie określonym w paragrafie poprzedzającym, wysokość wsparcia podlega pomniejszeniu o odzyskaną kwotę zgodnie z postanowieniami umowy o dofinansowanie. W celu zapewnienia wypełnienia powyższych warunków, beneficjent dostarczy stosowne oświadczenia i wyczerpujące informacje na etapie wnioskowania oraz odpowiednie regulacje zostaną zawarte w umowie o dofinansowanie.</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1B459135"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6E06D3A"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0CA93512"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C9283B3" w14:textId="217FEDB9" w:rsidR="0061248F" w:rsidRPr="00763E8F" w:rsidRDefault="0061248F" w:rsidP="0061248F">
            <w:pPr>
              <w:spacing w:line="276" w:lineRule="auto"/>
              <w:rPr>
                <w:rFonts w:ascii="Open Sans Light" w:hAnsi="Open Sans Light" w:cs="Open Sans Light"/>
                <w:b/>
                <w:sz w:val="20"/>
                <w:szCs w:val="20"/>
              </w:rPr>
            </w:pPr>
            <w:r>
              <w:rPr>
                <w:rFonts w:ascii="Open Sans Light" w:hAnsi="Open Sans Light" w:cs="Open Sans Light"/>
                <w:b/>
                <w:sz w:val="20"/>
                <w:szCs w:val="20"/>
              </w:rPr>
              <w:t>7.</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BD3600B" w14:textId="204730E1" w:rsidR="0061248F" w:rsidRPr="00652FC8" w:rsidRDefault="0061248F" w:rsidP="0061248F">
            <w:pPr>
              <w:spacing w:line="276" w:lineRule="auto"/>
              <w:rPr>
                <w:rFonts w:ascii="Open Sans Light" w:hAnsi="Open Sans Light" w:cs="Open Sans Light"/>
                <w:b/>
                <w:bCs/>
                <w:sz w:val="20"/>
                <w:szCs w:val="20"/>
              </w:rPr>
            </w:pPr>
            <w:r w:rsidRPr="00652FC8">
              <w:rPr>
                <w:rFonts w:ascii="Open Sans Light" w:hAnsi="Open Sans Light" w:cs="Open Sans Light"/>
                <w:b/>
                <w:bCs/>
                <w:sz w:val="20"/>
                <w:szCs w:val="20"/>
              </w:rPr>
              <w:t xml:space="preserve">Poprawność przyjętych rozwiązań technicznych rekultywacji, dekontaminacji lub </w:t>
            </w:r>
            <w:proofErr w:type="spellStart"/>
            <w:r w:rsidRPr="00652FC8">
              <w:rPr>
                <w:rFonts w:ascii="Open Sans Light" w:hAnsi="Open Sans Light" w:cs="Open Sans Light"/>
                <w:b/>
                <w:bCs/>
                <w:sz w:val="20"/>
                <w:szCs w:val="20"/>
              </w:rPr>
              <w:t>remediacji</w:t>
            </w:r>
            <w:proofErr w:type="spellEnd"/>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17183CC6"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7E022F1"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34ED80C4"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DBA276F" w14:textId="77777777" w:rsidR="006124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9879003" w14:textId="1B462190" w:rsidR="0061248F" w:rsidRPr="00652FC8" w:rsidRDefault="0061248F" w:rsidP="0061248F">
            <w:pPr>
              <w:spacing w:line="276" w:lineRule="auto"/>
              <w:rPr>
                <w:rFonts w:ascii="Open Sans Light" w:hAnsi="Open Sans Light" w:cs="Open Sans Light"/>
                <w:sz w:val="20"/>
                <w:szCs w:val="20"/>
              </w:rPr>
            </w:pPr>
            <w:r w:rsidRPr="00652FC8">
              <w:rPr>
                <w:rFonts w:ascii="Open Sans Light" w:hAnsi="Open Sans Light" w:cs="Open Sans Light"/>
                <w:sz w:val="20"/>
                <w:szCs w:val="20"/>
              </w:rPr>
              <w:t xml:space="preserve">W przypadku konieczności wykonania rekultywacji, dekontaminacji lub </w:t>
            </w:r>
            <w:proofErr w:type="spellStart"/>
            <w:r w:rsidRPr="00652FC8">
              <w:rPr>
                <w:rFonts w:ascii="Open Sans Light" w:hAnsi="Open Sans Light" w:cs="Open Sans Light"/>
                <w:sz w:val="20"/>
                <w:szCs w:val="20"/>
              </w:rPr>
              <w:t>remediacji</w:t>
            </w:r>
            <w:proofErr w:type="spellEnd"/>
            <w:r w:rsidRPr="00652FC8">
              <w:rPr>
                <w:rFonts w:ascii="Open Sans Light" w:hAnsi="Open Sans Light" w:cs="Open Sans Light"/>
                <w:sz w:val="20"/>
                <w:szCs w:val="20"/>
              </w:rPr>
              <w:t xml:space="preserve"> po usunięciu odpadów, ocenie podlega czy wykazano, że zaplanowana w ramach realizowanego przedsięwzięcia metoda rekultywacji, dekontaminacji lub </w:t>
            </w:r>
            <w:proofErr w:type="spellStart"/>
            <w:r w:rsidRPr="00652FC8">
              <w:rPr>
                <w:rFonts w:ascii="Open Sans Light" w:hAnsi="Open Sans Light" w:cs="Open Sans Light"/>
                <w:sz w:val="20"/>
                <w:szCs w:val="20"/>
              </w:rPr>
              <w:t>remediacji</w:t>
            </w:r>
            <w:proofErr w:type="spellEnd"/>
            <w:r w:rsidRPr="00652FC8">
              <w:rPr>
                <w:rFonts w:ascii="Open Sans Light" w:hAnsi="Open Sans Light" w:cs="Open Sans Light"/>
                <w:sz w:val="20"/>
                <w:szCs w:val="20"/>
              </w:rPr>
              <w:t xml:space="preserve"> powierzchni ziemi, obiektów lub akwenów jest optymalna z punktu widzenia celów projektu (skuteczna i utrwalająca efekty) i jest efektywna kosztowo, na co wskazuje analiza kosztów i korzyści przeprowadzona dla kilku wariantów</w:t>
            </w:r>
            <w:r w:rsidRPr="00652FC8">
              <w:t xml:space="preserve"> </w:t>
            </w:r>
            <w:r w:rsidRPr="00652FC8">
              <w:rPr>
                <w:rFonts w:ascii="Open Sans Light" w:hAnsi="Open Sans Light" w:cs="Open Sans Light"/>
                <w:sz w:val="20"/>
                <w:szCs w:val="20"/>
              </w:rPr>
              <w:t xml:space="preserve">sposobu </w:t>
            </w:r>
            <w:r w:rsidRPr="00652FC8">
              <w:rPr>
                <w:rFonts w:ascii="Open Sans Light" w:hAnsi="Open Sans Light" w:cs="Open Sans Light"/>
                <w:sz w:val="20"/>
                <w:szCs w:val="20"/>
              </w:rPr>
              <w:lastRenderedPageBreak/>
              <w:t>przeprowadzenia prac (o ile istnieją techniczne alternatywy przeprowadzenia założonych prac).</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20AC8FE5"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718FEA3"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2FD0C5EA"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6012D854" w14:textId="47297B25" w:rsidR="0061248F" w:rsidRDefault="0061248F" w:rsidP="0061248F">
            <w:pPr>
              <w:spacing w:line="276" w:lineRule="auto"/>
              <w:rPr>
                <w:rFonts w:ascii="Open Sans Light" w:hAnsi="Open Sans Light" w:cs="Open Sans Light"/>
                <w:b/>
                <w:sz w:val="20"/>
                <w:szCs w:val="20"/>
              </w:rPr>
            </w:pPr>
            <w:r>
              <w:rPr>
                <w:rFonts w:ascii="Open Sans Light" w:hAnsi="Open Sans Light" w:cs="Open Sans Light"/>
                <w:b/>
                <w:sz w:val="20"/>
                <w:szCs w:val="20"/>
              </w:rPr>
              <w:t>8.</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E01F16C" w14:textId="172A1A32" w:rsidR="0061248F" w:rsidRPr="00652FC8" w:rsidRDefault="0061248F" w:rsidP="0061248F">
            <w:pPr>
              <w:spacing w:line="276" w:lineRule="auto"/>
              <w:rPr>
                <w:rFonts w:ascii="Open Sans Light" w:hAnsi="Open Sans Light" w:cs="Open Sans Light"/>
                <w:b/>
                <w:bCs/>
                <w:sz w:val="20"/>
                <w:szCs w:val="20"/>
              </w:rPr>
            </w:pPr>
            <w:r w:rsidRPr="00652FC8">
              <w:rPr>
                <w:rFonts w:ascii="Open Sans Light" w:hAnsi="Open Sans Light" w:cs="Open Sans Light"/>
                <w:b/>
                <w:bCs/>
                <w:sz w:val="20"/>
                <w:szCs w:val="20"/>
              </w:rPr>
              <w:t>Unieszkodliwienie usuwanych odpadów niebezpiecznych</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3B978D15"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00C3818"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41945F2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81CB515" w14:textId="77777777" w:rsidR="006124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05BC6D6" w14:textId="1235FD82" w:rsidR="0061248F" w:rsidRPr="00652FC8" w:rsidRDefault="0061248F" w:rsidP="0061248F">
            <w:pPr>
              <w:spacing w:line="276" w:lineRule="auto"/>
              <w:rPr>
                <w:rFonts w:ascii="Open Sans Light" w:hAnsi="Open Sans Light" w:cs="Open Sans Light"/>
                <w:sz w:val="20"/>
                <w:szCs w:val="20"/>
              </w:rPr>
            </w:pPr>
            <w:r>
              <w:rPr>
                <w:rFonts w:ascii="Open Sans Light" w:hAnsi="Open Sans Light" w:cs="Open Sans Light"/>
                <w:sz w:val="20"/>
                <w:szCs w:val="20"/>
              </w:rPr>
              <w:t>C</w:t>
            </w:r>
            <w:r w:rsidRPr="00652FC8">
              <w:rPr>
                <w:rFonts w:ascii="Open Sans Light" w:hAnsi="Open Sans Light" w:cs="Open Sans Light"/>
                <w:sz w:val="20"/>
                <w:szCs w:val="20"/>
              </w:rPr>
              <w:t>zy wszystkie usuwane w ramach realizowanego przedsięwzięcia odpady niebezpieczne zostaną unieszkodliwione zgodnie z wymogami prawa</w:t>
            </w:r>
            <w:r>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3BE7E246"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9E06BCC"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4B6EAF2B"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62EBEDF" w14:textId="027C1399" w:rsidR="0061248F" w:rsidRDefault="0061248F" w:rsidP="0061248F">
            <w:pPr>
              <w:spacing w:line="276" w:lineRule="auto"/>
              <w:rPr>
                <w:rFonts w:ascii="Open Sans Light" w:hAnsi="Open Sans Light" w:cs="Open Sans Light"/>
                <w:b/>
                <w:sz w:val="20"/>
                <w:szCs w:val="20"/>
              </w:rPr>
            </w:pPr>
            <w:r>
              <w:rPr>
                <w:rFonts w:ascii="Open Sans Light" w:hAnsi="Open Sans Light" w:cs="Open Sans Light"/>
                <w:b/>
                <w:sz w:val="20"/>
                <w:szCs w:val="20"/>
              </w:rPr>
              <w:t>9.</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24A03CF" w14:textId="77777777" w:rsidR="0061248F" w:rsidRDefault="0061248F" w:rsidP="0061248F">
            <w:pPr>
              <w:spacing w:line="276" w:lineRule="auto"/>
              <w:rPr>
                <w:rFonts w:ascii="Open Sans Light" w:hAnsi="Open Sans Light" w:cs="Open Sans Light"/>
                <w:b/>
                <w:bCs/>
                <w:sz w:val="20"/>
                <w:szCs w:val="20"/>
              </w:rPr>
            </w:pPr>
            <w:r w:rsidRPr="00652FC8">
              <w:rPr>
                <w:rFonts w:ascii="Open Sans Light" w:hAnsi="Open Sans Light" w:cs="Open Sans Light"/>
                <w:b/>
                <w:bCs/>
                <w:sz w:val="20"/>
                <w:szCs w:val="20"/>
              </w:rPr>
              <w:t>Zagospodarowanie odpadów innych niż niebezpieczne</w:t>
            </w:r>
          </w:p>
          <w:p w14:paraId="4A5D2071" w14:textId="557F715C" w:rsidR="0061248F" w:rsidRPr="00F331C9" w:rsidRDefault="0061248F" w:rsidP="0061248F">
            <w:pPr>
              <w:spacing w:line="276" w:lineRule="auto"/>
              <w:rPr>
                <w:rFonts w:ascii="Open Sans Light" w:hAnsi="Open Sans Light" w:cs="Open Sans Light"/>
                <w:sz w:val="16"/>
                <w:szCs w:val="16"/>
              </w:rPr>
            </w:pPr>
            <w:r w:rsidRPr="00F331C9">
              <w:rPr>
                <w:rFonts w:ascii="Open Sans Light" w:hAnsi="Open Sans Light" w:cs="Open Sans Light"/>
                <w:sz w:val="16"/>
                <w:szCs w:val="16"/>
              </w:rPr>
              <w:t>(ocena „NIE DOTYCZY” może zostać zastosowana, jeśli w ramach wspieranego projektu założono jedynie interwencję w zakresie usuwania i unieszkodliwiania odpadów niebezpiecznych, a na oczyszczanym terenie nie stwierdzono występowania towarzyszących odpadów innych niż niebezpieczne.)</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71B26810"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44F25EC"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6D74D650"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EF162C1" w14:textId="77777777" w:rsidR="006124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D664C65" w14:textId="503781E6" w:rsidR="0061248F" w:rsidRDefault="0061248F" w:rsidP="0061248F">
            <w:pPr>
              <w:spacing w:line="276" w:lineRule="auto"/>
              <w:rPr>
                <w:rFonts w:ascii="Open Sans Light" w:hAnsi="Open Sans Light" w:cs="Open Sans Light"/>
                <w:sz w:val="20"/>
                <w:szCs w:val="20"/>
              </w:rPr>
            </w:pPr>
            <w:r>
              <w:rPr>
                <w:rFonts w:ascii="Open Sans Light" w:hAnsi="Open Sans Light" w:cs="Open Sans Light"/>
                <w:sz w:val="20"/>
                <w:szCs w:val="20"/>
              </w:rPr>
              <w:t>C</w:t>
            </w:r>
            <w:r w:rsidRPr="00652FC8">
              <w:rPr>
                <w:rFonts w:ascii="Open Sans Light" w:hAnsi="Open Sans Light" w:cs="Open Sans Light"/>
                <w:sz w:val="20"/>
                <w:szCs w:val="20"/>
              </w:rPr>
              <w:t>zy w ramach realizowanego przedsięwzięcia zapewnione zostanie zgodnie z wymogami prawa zagospodarowanie usuwanych odpadów innych niż niebezpieczne, w szczególności zgodnie z hierarchią sposobów postępowania z odpadami, o której mowa w ustawie z dnia 14 grudnia 2020 r. o odpadach</w:t>
            </w:r>
            <w:r>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88DA711"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D4F1210" w14:textId="77777777" w:rsidR="0061248F" w:rsidRPr="00763E8F" w:rsidRDefault="0061248F" w:rsidP="0061248F">
            <w:pPr>
              <w:spacing w:line="276" w:lineRule="auto"/>
              <w:rPr>
                <w:rFonts w:ascii="Open Sans Light" w:hAnsi="Open Sans Light" w:cs="Open Sans Light"/>
                <w:b/>
                <w:sz w:val="20"/>
                <w:szCs w:val="20"/>
              </w:rPr>
            </w:pPr>
          </w:p>
        </w:tc>
      </w:tr>
      <w:tr w:rsidR="0061248F" w:rsidRPr="00763E8F" w14:paraId="31862C62"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33F7969" w14:textId="77777777" w:rsidR="0061248F" w:rsidRDefault="0061248F" w:rsidP="006124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252176FB" w14:textId="784275B2" w:rsidR="0061248F" w:rsidRDefault="0061248F" w:rsidP="0061248F">
            <w:pPr>
              <w:spacing w:line="276" w:lineRule="auto"/>
              <w:rPr>
                <w:rFonts w:ascii="Open Sans Light" w:hAnsi="Open Sans Light" w:cs="Open Sans Light"/>
                <w:sz w:val="20"/>
                <w:szCs w:val="20"/>
              </w:rPr>
            </w:pPr>
            <w:r>
              <w:rPr>
                <w:rFonts w:ascii="Open Sans Light" w:hAnsi="Open Sans Light" w:cs="Open Sans Light"/>
                <w:sz w:val="20"/>
                <w:szCs w:val="20"/>
              </w:rPr>
              <w:t>C</w:t>
            </w:r>
            <w:r w:rsidRPr="00F331C9">
              <w:rPr>
                <w:rFonts w:ascii="Open Sans Light" w:hAnsi="Open Sans Light" w:cs="Open Sans Light"/>
                <w:sz w:val="20"/>
                <w:szCs w:val="20"/>
              </w:rPr>
              <w:t>zy wszystkie usuwane w ramach realizowanego przedsięwzięcia odpady zostaną zagospodarowane zgodnie z wymogami prawa</w:t>
            </w:r>
            <w:r>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FDE39C1" w14:textId="77777777" w:rsidR="0061248F" w:rsidRPr="00763E8F" w:rsidRDefault="0061248F" w:rsidP="006124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B5A47ED" w14:textId="77777777" w:rsidR="0061248F" w:rsidRPr="00763E8F" w:rsidRDefault="0061248F" w:rsidP="0061248F">
            <w:pPr>
              <w:spacing w:line="276" w:lineRule="auto"/>
              <w:rPr>
                <w:rFonts w:ascii="Open Sans Light" w:hAnsi="Open Sans Light" w:cs="Open Sans Light"/>
                <w:b/>
                <w:sz w:val="20"/>
                <w:szCs w:val="20"/>
              </w:rPr>
            </w:pPr>
          </w:p>
        </w:tc>
      </w:tr>
    </w:tbl>
    <w:p w14:paraId="317A308F" w14:textId="77777777" w:rsidR="00A14095" w:rsidRPr="00B36387" w:rsidRDefault="005366EE" w:rsidP="0061248F">
      <w:pPr>
        <w:spacing w:before="240" w:line="276" w:lineRule="auto"/>
        <w:rPr>
          <w:rFonts w:ascii="Open Sans Light" w:hAnsi="Open Sans Light" w:cs="Open Sans Light"/>
          <w:sz w:val="22"/>
          <w:szCs w:val="22"/>
        </w:rPr>
      </w:pPr>
      <w:r w:rsidRPr="00B36387">
        <w:rPr>
          <w:rFonts w:ascii="Open Sans Light" w:hAnsi="Open Sans Light" w:cs="Open Sans Light"/>
          <w:sz w:val="22"/>
          <w:szCs w:val="22"/>
        </w:rPr>
        <w:t xml:space="preserve">Opinia </w:t>
      </w:r>
      <w:r w:rsidR="00A14095" w:rsidRPr="00B36387">
        <w:rPr>
          <w:rFonts w:ascii="Open Sans Light" w:hAnsi="Open Sans Light" w:cs="Open Sans Light"/>
          <w:sz w:val="22"/>
          <w:szCs w:val="22"/>
        </w:rPr>
        <w:t>członka KOP:</w:t>
      </w:r>
      <w:r w:rsidRPr="00B36387">
        <w:rPr>
          <w:rFonts w:ascii="Open Sans Light" w:hAnsi="Open Sans Light" w:cs="Open Sans Light"/>
          <w:sz w:val="22"/>
          <w:szCs w:val="22"/>
        </w:rPr>
        <w:t xml:space="preserve"> </w:t>
      </w:r>
    </w:p>
    <w:p w14:paraId="43B78709" w14:textId="58BDA8DB" w:rsidR="005366EE" w:rsidRPr="00B36387" w:rsidRDefault="00A14095" w:rsidP="0061248F">
      <w:pPr>
        <w:spacing w:after="240" w:line="276" w:lineRule="auto"/>
        <w:rPr>
          <w:rFonts w:ascii="Open Sans Light" w:hAnsi="Open Sans Light" w:cs="Open Sans Light"/>
          <w:sz w:val="22"/>
          <w:szCs w:val="22"/>
        </w:rPr>
      </w:pPr>
      <w:r w:rsidRPr="00B36387">
        <w:rPr>
          <w:rFonts w:ascii="Open Sans Light" w:hAnsi="Open Sans Light" w:cs="Open Sans Light"/>
          <w:sz w:val="22"/>
          <w:szCs w:val="22"/>
        </w:rPr>
        <w:t>C</w:t>
      </w:r>
      <w:r w:rsidR="005366EE" w:rsidRPr="00B36387">
        <w:rPr>
          <w:rFonts w:ascii="Open Sans Light" w:hAnsi="Open Sans Light" w:cs="Open Sans Light"/>
          <w:sz w:val="22"/>
          <w:szCs w:val="22"/>
        </w:rPr>
        <w:t xml:space="preserve">zy projekt spełnia </w:t>
      </w:r>
      <w:proofErr w:type="spellStart"/>
      <w:r w:rsidR="008B3962" w:rsidRPr="00B36387">
        <w:rPr>
          <w:rFonts w:ascii="Open Sans Light" w:hAnsi="Open Sans Light" w:cs="Open Sans Light"/>
          <w:sz w:val="22"/>
          <w:szCs w:val="22"/>
        </w:rPr>
        <w:t>ww.</w:t>
      </w:r>
      <w:r w:rsidRPr="00B36387">
        <w:rPr>
          <w:rFonts w:ascii="Open Sans Light" w:hAnsi="Open Sans Light" w:cs="Open Sans Light"/>
          <w:sz w:val="22"/>
          <w:szCs w:val="22"/>
        </w:rPr>
        <w:t>obligatoryjne</w:t>
      </w:r>
      <w:proofErr w:type="spellEnd"/>
      <w:r w:rsidRPr="00B36387">
        <w:rPr>
          <w:rFonts w:ascii="Open Sans Light" w:hAnsi="Open Sans Light" w:cs="Open Sans Light"/>
          <w:sz w:val="22"/>
          <w:szCs w:val="22"/>
        </w:rPr>
        <w:t xml:space="preserve"> </w:t>
      </w:r>
      <w:r w:rsidR="005366EE" w:rsidRPr="00B36387">
        <w:rPr>
          <w:rFonts w:ascii="Open Sans Light" w:hAnsi="Open Sans Light" w:cs="Open Sans Light"/>
          <w:sz w:val="22"/>
          <w:szCs w:val="22"/>
        </w:rPr>
        <w:t>kryteria</w:t>
      </w:r>
      <w:r w:rsidRPr="00B36387">
        <w:rPr>
          <w:rFonts w:ascii="Open Sans Light" w:hAnsi="Open Sans Light" w:cs="Open Sans Light"/>
          <w:sz w:val="22"/>
          <w:szCs w:val="22"/>
        </w:rPr>
        <w:t xml:space="preserve"> horyzontalne i specyficzne dla ETAPU 2 oceny?</w:t>
      </w:r>
      <w:r w:rsidR="002E1DB8" w:rsidRPr="00B36387">
        <w:rPr>
          <w:rFonts w:ascii="Open Sans Light" w:hAnsi="Open Sans Light" w:cs="Open Sans Light"/>
          <w:sz w:val="22"/>
          <w:szCs w:val="22"/>
        </w:rPr>
        <w:t xml:space="preserve"> </w:t>
      </w:r>
    </w:p>
    <w:tbl>
      <w:tblPr>
        <w:tblpPr w:leftFromText="141" w:rightFromText="141" w:vertAnchor="text" w:horzAnchor="margin" w:tblpY="15"/>
        <w:tblW w:w="8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Caption w:val="Tabela z oceną "/>
        <w:tblDescription w:val="Tabela z oceną "/>
      </w:tblPr>
      <w:tblGrid>
        <w:gridCol w:w="2405"/>
        <w:gridCol w:w="723"/>
        <w:gridCol w:w="709"/>
        <w:gridCol w:w="836"/>
        <w:gridCol w:w="3416"/>
      </w:tblGrid>
      <w:tr w:rsidR="00A14095" w:rsidRPr="00B36387" w14:paraId="646B1297" w14:textId="77777777" w:rsidTr="00A14095">
        <w:trPr>
          <w:trHeight w:val="446"/>
        </w:trPr>
        <w:tc>
          <w:tcPr>
            <w:tcW w:w="2405" w:type="dxa"/>
            <w:tcBorders>
              <w:top w:val="single" w:sz="4" w:space="0" w:color="auto"/>
              <w:left w:val="single" w:sz="4" w:space="0" w:color="auto"/>
              <w:bottom w:val="single" w:sz="4" w:space="0" w:color="auto"/>
              <w:right w:val="single" w:sz="4" w:space="0" w:color="auto"/>
            </w:tcBorders>
            <w:vAlign w:val="center"/>
            <w:hideMark/>
          </w:tcPr>
          <w:p w14:paraId="72C42A53" w14:textId="14D6459C" w:rsidR="00A14095" w:rsidRPr="00B36387" w:rsidRDefault="00A14095" w:rsidP="0061248F">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Członek KOP</w:t>
            </w:r>
          </w:p>
        </w:tc>
        <w:tc>
          <w:tcPr>
            <w:tcW w:w="723" w:type="dxa"/>
            <w:tcBorders>
              <w:top w:val="single" w:sz="4" w:space="0" w:color="auto"/>
              <w:left w:val="single" w:sz="4" w:space="0" w:color="auto"/>
              <w:bottom w:val="single" w:sz="4" w:space="0" w:color="auto"/>
              <w:right w:val="single" w:sz="4" w:space="0" w:color="auto"/>
            </w:tcBorders>
            <w:vAlign w:val="center"/>
            <w:hideMark/>
          </w:tcPr>
          <w:p w14:paraId="7E0AC9DF" w14:textId="77777777" w:rsidR="00A14095" w:rsidRPr="00B36387" w:rsidRDefault="00A14095" w:rsidP="0061248F">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TAK</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EF5C5B" w14:textId="77777777" w:rsidR="00A14095" w:rsidRPr="00B36387" w:rsidRDefault="00A14095" w:rsidP="0061248F">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w:t>
            </w:r>
          </w:p>
        </w:tc>
        <w:tc>
          <w:tcPr>
            <w:tcW w:w="836" w:type="dxa"/>
            <w:tcBorders>
              <w:top w:val="single" w:sz="4" w:space="0" w:color="auto"/>
              <w:left w:val="single" w:sz="4" w:space="0" w:color="auto"/>
              <w:bottom w:val="single" w:sz="4" w:space="0" w:color="auto"/>
              <w:right w:val="single" w:sz="4" w:space="0" w:color="auto"/>
            </w:tcBorders>
            <w:vAlign w:val="center"/>
          </w:tcPr>
          <w:p w14:paraId="3FB70213" w14:textId="77777777" w:rsidR="00A14095" w:rsidRPr="00B36387" w:rsidRDefault="00A14095" w:rsidP="0061248F">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 DOTYCZY</w:t>
            </w:r>
          </w:p>
        </w:tc>
        <w:tc>
          <w:tcPr>
            <w:tcW w:w="3416" w:type="dxa"/>
            <w:tcBorders>
              <w:top w:val="single" w:sz="4" w:space="0" w:color="auto"/>
              <w:left w:val="single" w:sz="4" w:space="0" w:color="auto"/>
              <w:bottom w:val="single" w:sz="4" w:space="0" w:color="auto"/>
              <w:right w:val="single" w:sz="4" w:space="0" w:color="auto"/>
            </w:tcBorders>
            <w:vAlign w:val="center"/>
            <w:hideMark/>
          </w:tcPr>
          <w:p w14:paraId="6AD765D8" w14:textId="0D5D4994" w:rsidR="00A14095" w:rsidRPr="00B36387" w:rsidRDefault="00A14095" w:rsidP="0061248F">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Uwagi /uzasadnienie</w:t>
            </w:r>
          </w:p>
        </w:tc>
      </w:tr>
      <w:tr w:rsidR="00A14095" w:rsidRPr="00B36387" w14:paraId="755D118F" w14:textId="77777777" w:rsidTr="00A14095">
        <w:trPr>
          <w:trHeight w:val="663"/>
        </w:trPr>
        <w:tc>
          <w:tcPr>
            <w:tcW w:w="2405" w:type="dxa"/>
            <w:tcBorders>
              <w:top w:val="single" w:sz="4" w:space="0" w:color="auto"/>
              <w:left w:val="single" w:sz="4" w:space="0" w:color="auto"/>
              <w:bottom w:val="single" w:sz="4" w:space="0" w:color="auto"/>
              <w:right w:val="single" w:sz="4" w:space="0" w:color="auto"/>
            </w:tcBorders>
            <w:vAlign w:val="center"/>
          </w:tcPr>
          <w:p w14:paraId="7AB52642" w14:textId="77777777" w:rsidR="00A14095" w:rsidRPr="00B36387" w:rsidRDefault="00A14095" w:rsidP="0061248F">
            <w:pPr>
              <w:spacing w:line="276" w:lineRule="auto"/>
              <w:jc w:val="center"/>
              <w:rPr>
                <w:rFonts w:ascii="Open Sans Light" w:hAnsi="Open Sans Light" w:cs="Open Sans Light"/>
                <w:sz w:val="22"/>
                <w:szCs w:val="22"/>
              </w:rPr>
            </w:pPr>
          </w:p>
        </w:tc>
        <w:tc>
          <w:tcPr>
            <w:tcW w:w="723" w:type="dxa"/>
            <w:tcBorders>
              <w:top w:val="single" w:sz="4" w:space="0" w:color="auto"/>
              <w:left w:val="single" w:sz="4" w:space="0" w:color="auto"/>
              <w:bottom w:val="single" w:sz="4" w:space="0" w:color="auto"/>
              <w:right w:val="single" w:sz="4" w:space="0" w:color="auto"/>
            </w:tcBorders>
            <w:vAlign w:val="center"/>
          </w:tcPr>
          <w:p w14:paraId="4873F5CC" w14:textId="77777777" w:rsidR="00A14095" w:rsidRPr="00B36387" w:rsidRDefault="00A14095" w:rsidP="0061248F">
            <w:pPr>
              <w:spacing w:line="276" w:lineRule="auto"/>
              <w:jc w:val="center"/>
              <w:rPr>
                <w:rFonts w:ascii="Open Sans Light" w:hAnsi="Open Sans Light" w:cs="Open Sans Light"/>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3A97DA9" w14:textId="77777777" w:rsidR="00A14095" w:rsidRPr="00B36387" w:rsidRDefault="00A14095" w:rsidP="0061248F">
            <w:pPr>
              <w:spacing w:line="276" w:lineRule="auto"/>
              <w:jc w:val="center"/>
              <w:rPr>
                <w:rFonts w:ascii="Open Sans Light" w:hAnsi="Open Sans Light" w:cs="Open Sans Light"/>
                <w:sz w:val="22"/>
                <w:szCs w:val="22"/>
              </w:rPr>
            </w:pPr>
          </w:p>
        </w:tc>
        <w:tc>
          <w:tcPr>
            <w:tcW w:w="836" w:type="dxa"/>
            <w:tcBorders>
              <w:top w:val="single" w:sz="4" w:space="0" w:color="auto"/>
              <w:left w:val="single" w:sz="4" w:space="0" w:color="auto"/>
              <w:bottom w:val="single" w:sz="4" w:space="0" w:color="auto"/>
              <w:right w:val="single" w:sz="4" w:space="0" w:color="auto"/>
            </w:tcBorders>
            <w:vAlign w:val="center"/>
          </w:tcPr>
          <w:p w14:paraId="38467B1C" w14:textId="77777777" w:rsidR="00A14095" w:rsidRPr="00B36387" w:rsidRDefault="00A14095" w:rsidP="0061248F">
            <w:pPr>
              <w:spacing w:line="276" w:lineRule="auto"/>
              <w:jc w:val="center"/>
              <w:rPr>
                <w:rFonts w:ascii="Open Sans Light" w:hAnsi="Open Sans Light" w:cs="Open Sans Light"/>
                <w:sz w:val="22"/>
                <w:szCs w:val="22"/>
              </w:rPr>
            </w:pPr>
          </w:p>
        </w:tc>
        <w:tc>
          <w:tcPr>
            <w:tcW w:w="3416" w:type="dxa"/>
            <w:tcBorders>
              <w:top w:val="single" w:sz="4" w:space="0" w:color="auto"/>
              <w:left w:val="single" w:sz="4" w:space="0" w:color="auto"/>
              <w:bottom w:val="single" w:sz="4" w:space="0" w:color="auto"/>
              <w:right w:val="single" w:sz="4" w:space="0" w:color="auto"/>
            </w:tcBorders>
            <w:vAlign w:val="center"/>
          </w:tcPr>
          <w:p w14:paraId="02EDBC4A" w14:textId="77777777" w:rsidR="00A14095" w:rsidRPr="00B36387" w:rsidRDefault="00A14095" w:rsidP="0061248F">
            <w:pPr>
              <w:spacing w:line="276" w:lineRule="auto"/>
              <w:jc w:val="center"/>
              <w:rPr>
                <w:rFonts w:ascii="Open Sans Light" w:hAnsi="Open Sans Light" w:cs="Open Sans Light"/>
                <w:sz w:val="22"/>
                <w:szCs w:val="22"/>
              </w:rPr>
            </w:pPr>
          </w:p>
        </w:tc>
      </w:tr>
    </w:tbl>
    <w:p w14:paraId="1E76A530" w14:textId="648A6FD4" w:rsidR="005366EE" w:rsidRPr="00B36387" w:rsidRDefault="005366EE" w:rsidP="0061248F">
      <w:pPr>
        <w:spacing w:line="276" w:lineRule="auto"/>
        <w:rPr>
          <w:rFonts w:ascii="Open Sans Light" w:hAnsi="Open Sans Light" w:cs="Open Sans Light"/>
          <w:sz w:val="22"/>
          <w:szCs w:val="22"/>
        </w:rPr>
      </w:pPr>
    </w:p>
    <w:p w14:paraId="2DF109D5" w14:textId="54B652D0" w:rsidR="00A14095" w:rsidRPr="00B36387" w:rsidRDefault="00A14095" w:rsidP="0061248F">
      <w:pPr>
        <w:spacing w:line="276" w:lineRule="auto"/>
        <w:rPr>
          <w:rFonts w:ascii="Open Sans Light" w:hAnsi="Open Sans Light" w:cs="Open Sans Light"/>
          <w:sz w:val="22"/>
          <w:szCs w:val="22"/>
        </w:rPr>
      </w:pPr>
    </w:p>
    <w:p w14:paraId="7193C80E" w14:textId="775EFE87" w:rsidR="00A14095" w:rsidRPr="00B36387" w:rsidRDefault="00A14095" w:rsidP="0061248F">
      <w:pPr>
        <w:spacing w:line="276" w:lineRule="auto"/>
        <w:rPr>
          <w:rFonts w:ascii="Open Sans Light" w:hAnsi="Open Sans Light" w:cs="Open Sans Light"/>
          <w:sz w:val="22"/>
          <w:szCs w:val="22"/>
        </w:rPr>
      </w:pPr>
    </w:p>
    <w:p w14:paraId="12576A2C" w14:textId="5EB33884" w:rsidR="00A14095" w:rsidRPr="00B36387" w:rsidRDefault="00A14095" w:rsidP="0061248F">
      <w:pPr>
        <w:spacing w:line="276" w:lineRule="auto"/>
        <w:rPr>
          <w:rFonts w:ascii="Open Sans Light" w:hAnsi="Open Sans Light" w:cs="Open Sans Light"/>
          <w:sz w:val="22"/>
          <w:szCs w:val="22"/>
        </w:rPr>
      </w:pPr>
    </w:p>
    <w:p w14:paraId="1C8BF91C" w14:textId="123EB687" w:rsidR="00A14095" w:rsidRPr="00B36387" w:rsidRDefault="00A14095" w:rsidP="0061248F">
      <w:pPr>
        <w:spacing w:line="276" w:lineRule="auto"/>
        <w:rPr>
          <w:rFonts w:ascii="Open Sans Light" w:hAnsi="Open Sans Light" w:cs="Open Sans Light"/>
          <w:sz w:val="22"/>
          <w:szCs w:val="22"/>
        </w:rPr>
      </w:pPr>
    </w:p>
    <w:p w14:paraId="0AED1477" w14:textId="3DADD242" w:rsidR="00A14095" w:rsidRPr="00B36387" w:rsidRDefault="00A14095" w:rsidP="0061248F">
      <w:pPr>
        <w:spacing w:line="276" w:lineRule="auto"/>
        <w:rPr>
          <w:rFonts w:ascii="Open Sans Light" w:hAnsi="Open Sans Light" w:cs="Open Sans Light"/>
          <w:sz w:val="22"/>
          <w:szCs w:val="22"/>
        </w:rPr>
      </w:pPr>
    </w:p>
    <w:p w14:paraId="48ABD696" w14:textId="77777777" w:rsidR="005366EE" w:rsidRPr="00B36387" w:rsidRDefault="005366EE" w:rsidP="0061248F">
      <w:pPr>
        <w:spacing w:before="120" w:after="120" w:line="276" w:lineRule="auto"/>
        <w:rPr>
          <w:rFonts w:ascii="Open Sans Light" w:hAnsi="Open Sans Light" w:cs="Open Sans Light"/>
          <w:sz w:val="22"/>
          <w:szCs w:val="22"/>
        </w:rPr>
      </w:pPr>
      <w:r w:rsidRPr="00B36387">
        <w:rPr>
          <w:rFonts w:ascii="Open Sans Light" w:hAnsi="Open Sans Light" w:cs="Open Sans Light"/>
          <w:sz w:val="22"/>
          <w:szCs w:val="22"/>
        </w:rPr>
        <w:t>Imię i nazwisko osoby oceniającej : …………………………</w:t>
      </w:r>
    </w:p>
    <w:p w14:paraId="03542285" w14:textId="77777777" w:rsidR="005366EE" w:rsidRPr="00B36387" w:rsidRDefault="005366EE" w:rsidP="0061248F">
      <w:pPr>
        <w:spacing w:after="120" w:line="276" w:lineRule="auto"/>
        <w:jc w:val="both"/>
        <w:rPr>
          <w:rFonts w:ascii="Open Sans Light" w:hAnsi="Open Sans Light" w:cs="Open Sans Light"/>
          <w:sz w:val="22"/>
          <w:szCs w:val="22"/>
        </w:rPr>
      </w:pPr>
      <w:r w:rsidRPr="00B36387">
        <w:rPr>
          <w:rFonts w:ascii="Open Sans Light" w:hAnsi="Open Sans Light" w:cs="Open Sans Light"/>
          <w:sz w:val="22"/>
          <w:szCs w:val="22"/>
        </w:rPr>
        <w:lastRenderedPageBreak/>
        <w:t>Data :</w:t>
      </w:r>
      <w:r w:rsidRPr="00B36387">
        <w:rPr>
          <w:rFonts w:ascii="Open Sans Light" w:hAnsi="Open Sans Light" w:cs="Open Sans Light"/>
          <w:sz w:val="22"/>
          <w:szCs w:val="22"/>
        </w:rPr>
        <w:tab/>
        <w:t>…………………………..</w:t>
      </w:r>
    </w:p>
    <w:p w14:paraId="4DBCFC9E" w14:textId="77777777" w:rsidR="005366EE" w:rsidRPr="00B36387" w:rsidRDefault="005366EE" w:rsidP="0061248F">
      <w:pPr>
        <w:spacing w:after="120" w:line="276" w:lineRule="auto"/>
        <w:jc w:val="both"/>
        <w:rPr>
          <w:rFonts w:ascii="Open Sans Light" w:hAnsi="Open Sans Light" w:cs="Open Sans Light"/>
          <w:sz w:val="22"/>
          <w:szCs w:val="22"/>
        </w:rPr>
      </w:pPr>
      <w:r w:rsidRPr="00B36387">
        <w:rPr>
          <w:rFonts w:ascii="Open Sans Light" w:hAnsi="Open Sans Light" w:cs="Open Sans Light"/>
          <w:sz w:val="22"/>
          <w:szCs w:val="22"/>
        </w:rPr>
        <w:t>Podpis:…………………………..,</w:t>
      </w:r>
      <w:r w:rsidRPr="00B36387">
        <w:rPr>
          <w:rFonts w:ascii="Open Sans Light" w:hAnsi="Open Sans Light" w:cs="Open Sans Light"/>
          <w:sz w:val="22"/>
          <w:szCs w:val="22"/>
        </w:rPr>
        <w:tab/>
      </w:r>
    </w:p>
    <w:p w14:paraId="7596C20F" w14:textId="77777777" w:rsidR="005366EE" w:rsidRPr="00B36387" w:rsidRDefault="005366EE" w:rsidP="0061248F">
      <w:pPr>
        <w:spacing w:before="120" w:after="120" w:line="276" w:lineRule="auto"/>
        <w:rPr>
          <w:rFonts w:ascii="Open Sans Light" w:hAnsi="Open Sans Light" w:cs="Open Sans Light"/>
          <w:sz w:val="22"/>
          <w:szCs w:val="22"/>
        </w:rPr>
      </w:pPr>
      <w:r w:rsidRPr="00B36387">
        <w:rPr>
          <w:rFonts w:ascii="Open Sans Light" w:hAnsi="Open Sans Light" w:cs="Open Sans Light"/>
          <w:sz w:val="22"/>
          <w:szCs w:val="22"/>
        </w:rPr>
        <w:t>Imię i nazwisko osoby weryfikującej : …………………………</w:t>
      </w:r>
    </w:p>
    <w:p w14:paraId="339FA918" w14:textId="77777777" w:rsidR="005366EE" w:rsidRPr="00B36387" w:rsidRDefault="005366EE" w:rsidP="0061248F">
      <w:pPr>
        <w:spacing w:after="120" w:line="276" w:lineRule="auto"/>
        <w:jc w:val="both"/>
        <w:rPr>
          <w:rFonts w:ascii="Open Sans Light" w:hAnsi="Open Sans Light" w:cs="Open Sans Light"/>
          <w:sz w:val="22"/>
          <w:szCs w:val="22"/>
        </w:rPr>
      </w:pPr>
      <w:r w:rsidRPr="00B36387">
        <w:rPr>
          <w:rFonts w:ascii="Open Sans Light" w:hAnsi="Open Sans Light" w:cs="Open Sans Light"/>
          <w:sz w:val="22"/>
          <w:szCs w:val="22"/>
        </w:rPr>
        <w:t>Data :</w:t>
      </w:r>
      <w:r w:rsidRPr="00B36387">
        <w:rPr>
          <w:rFonts w:ascii="Open Sans Light" w:hAnsi="Open Sans Light" w:cs="Open Sans Light"/>
          <w:sz w:val="22"/>
          <w:szCs w:val="22"/>
        </w:rPr>
        <w:tab/>
        <w:t>…………………………..</w:t>
      </w:r>
    </w:p>
    <w:p w14:paraId="7DA6EAD4" w14:textId="52D19EDB" w:rsidR="00CE2F63" w:rsidRPr="00B36387" w:rsidRDefault="005366EE" w:rsidP="0061248F">
      <w:pPr>
        <w:spacing w:after="120" w:line="276" w:lineRule="auto"/>
        <w:jc w:val="both"/>
        <w:rPr>
          <w:rFonts w:ascii="Open Sans Light" w:hAnsi="Open Sans Light" w:cs="Open Sans Light"/>
          <w:sz w:val="22"/>
          <w:szCs w:val="22"/>
        </w:rPr>
      </w:pPr>
      <w:r w:rsidRPr="00B36387">
        <w:rPr>
          <w:rFonts w:ascii="Open Sans Light" w:hAnsi="Open Sans Light" w:cs="Open Sans Light"/>
          <w:sz w:val="22"/>
          <w:szCs w:val="22"/>
        </w:rPr>
        <w:t>Podpis:…………………………..,</w:t>
      </w:r>
    </w:p>
    <w:sectPr w:rsidR="00CE2F63" w:rsidRPr="00B36387" w:rsidSect="003F78FC">
      <w:footerReference w:type="default" r:id="rId9"/>
      <w:pgSz w:w="11906" w:h="16838"/>
      <w:pgMar w:top="1135"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6A1E9" w14:textId="77777777" w:rsidR="002A2114" w:rsidRDefault="002A2114" w:rsidP="0015303A">
      <w:r>
        <w:separator/>
      </w:r>
    </w:p>
  </w:endnote>
  <w:endnote w:type="continuationSeparator" w:id="0">
    <w:p w14:paraId="03876508" w14:textId="77777777" w:rsidR="002A2114" w:rsidRDefault="002A2114" w:rsidP="0015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panose1 w:val="00000000000000000000"/>
    <w:charset w:val="EE"/>
    <w:family w:val="auto"/>
    <w:pitch w:val="variable"/>
    <w:sig w:usb0="E00002FF" w:usb1="4000201B" w:usb2="00000028" w:usb3="00000000" w:csb0="0000019F" w:csb1="00000000"/>
  </w:font>
  <w:font w:name="Open Sans">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6609595"/>
      <w:docPartObj>
        <w:docPartGallery w:val="Page Numbers (Bottom of Page)"/>
        <w:docPartUnique/>
      </w:docPartObj>
    </w:sdtPr>
    <w:sdtEndPr/>
    <w:sdtContent>
      <w:p w14:paraId="16872CA1" w14:textId="0B246BF6" w:rsidR="008B73BC" w:rsidRDefault="00687DB4">
        <w:pPr>
          <w:pStyle w:val="Stopka"/>
          <w:jc w:val="right"/>
        </w:pPr>
        <w:r w:rsidRPr="009B5128">
          <w:rPr>
            <w:rFonts w:ascii="Arial" w:hAnsi="Arial" w:cs="Arial"/>
            <w:sz w:val="22"/>
            <w:szCs w:val="22"/>
          </w:rPr>
          <w:fldChar w:fldCharType="begin"/>
        </w:r>
        <w:r w:rsidR="008B73BC" w:rsidRPr="009B5128">
          <w:rPr>
            <w:rFonts w:ascii="Arial" w:hAnsi="Arial" w:cs="Arial"/>
            <w:sz w:val="22"/>
            <w:szCs w:val="22"/>
          </w:rPr>
          <w:instrText>PAGE   \* MERGEFORMAT</w:instrText>
        </w:r>
        <w:r w:rsidRPr="009B5128">
          <w:rPr>
            <w:rFonts w:ascii="Arial" w:hAnsi="Arial" w:cs="Arial"/>
            <w:sz w:val="22"/>
            <w:szCs w:val="22"/>
          </w:rPr>
          <w:fldChar w:fldCharType="separate"/>
        </w:r>
        <w:r w:rsidR="00A8537C">
          <w:rPr>
            <w:rFonts w:ascii="Arial" w:hAnsi="Arial" w:cs="Arial"/>
            <w:noProof/>
            <w:sz w:val="22"/>
            <w:szCs w:val="22"/>
          </w:rPr>
          <w:t>11</w:t>
        </w:r>
        <w:r w:rsidRPr="009B5128">
          <w:rPr>
            <w:rFonts w:ascii="Arial" w:hAnsi="Arial" w:cs="Arial"/>
            <w:sz w:val="22"/>
            <w:szCs w:val="22"/>
          </w:rPr>
          <w:fldChar w:fldCharType="end"/>
        </w:r>
      </w:p>
    </w:sdtContent>
  </w:sdt>
  <w:p w14:paraId="5AC7CFAA" w14:textId="77777777" w:rsidR="008B73BC" w:rsidRDefault="008B73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5F098" w14:textId="77777777" w:rsidR="002A2114" w:rsidRDefault="002A2114" w:rsidP="0015303A">
      <w:r>
        <w:separator/>
      </w:r>
    </w:p>
  </w:footnote>
  <w:footnote w:type="continuationSeparator" w:id="0">
    <w:p w14:paraId="6F6ED599" w14:textId="77777777" w:rsidR="002A2114" w:rsidRDefault="002A2114" w:rsidP="0015303A">
      <w:r>
        <w:continuationSeparator/>
      </w:r>
    </w:p>
  </w:footnote>
  <w:footnote w:id="1">
    <w:p w14:paraId="1A9ACFCE" w14:textId="4A3E0BD3" w:rsidR="00AA38F7" w:rsidRPr="00BF5A0F" w:rsidRDefault="00AA38F7" w:rsidP="00BF5A0F">
      <w:pPr>
        <w:pStyle w:val="Tekstprzypisudolnego"/>
        <w:spacing w:line="276" w:lineRule="auto"/>
        <w:rPr>
          <w:rFonts w:ascii="Open Sans" w:hAnsi="Open Sans" w:cs="Open Sans"/>
        </w:rPr>
      </w:pPr>
      <w:r w:rsidRPr="00BF5A0F">
        <w:rPr>
          <w:rStyle w:val="Odwoanieprzypisudolnego"/>
          <w:rFonts w:ascii="Open Sans" w:hAnsi="Open Sans" w:cs="Open Sans"/>
        </w:rPr>
        <w:footnoteRef/>
      </w:r>
      <w:r w:rsidRPr="00BF5A0F">
        <w:rPr>
          <w:rFonts w:ascii="Open Sans" w:hAnsi="Open Sans" w:cs="Open Sans"/>
        </w:rPr>
        <w:t xml:space="preserve">   Odpowiedź „Nie dotyczy” może być zastosowana jedynie dla kryterium horyzontalnych nr 7, 9, 13, </w:t>
      </w:r>
      <w:r w:rsidR="00A8537C" w:rsidRPr="00BF5A0F">
        <w:rPr>
          <w:rFonts w:ascii="Open Sans" w:hAnsi="Open Sans" w:cs="Open Sans"/>
        </w:rPr>
        <w:t>o</w:t>
      </w:r>
      <w:r w:rsidR="00652FC8" w:rsidRPr="00BF5A0F">
        <w:rPr>
          <w:rFonts w:ascii="Open Sans" w:hAnsi="Open Sans" w:cs="Open Sans"/>
        </w:rPr>
        <w:t>raz kryterium specyficznego nr 9</w:t>
      </w:r>
    </w:p>
  </w:footnote>
  <w:footnote w:id="2">
    <w:p w14:paraId="53982EC8" w14:textId="77777777" w:rsidR="0061248F" w:rsidRPr="00C82EA5" w:rsidRDefault="0061248F" w:rsidP="00BF5A0F">
      <w:pPr>
        <w:pStyle w:val="Tekstprzypisudolnego"/>
        <w:spacing w:line="276" w:lineRule="auto"/>
        <w:rPr>
          <w:rFonts w:ascii="Open Sans Light" w:hAnsi="Open Sans Light" w:cs="Open Sans Light"/>
          <w:sz w:val="16"/>
          <w:szCs w:val="16"/>
        </w:rPr>
      </w:pPr>
      <w:r w:rsidRPr="00C82EA5">
        <w:rPr>
          <w:rStyle w:val="Odwoanieprzypisudolnego"/>
          <w:rFonts w:ascii="Open Sans Light" w:hAnsi="Open Sans Light" w:cs="Open Sans Light"/>
          <w:sz w:val="16"/>
          <w:szCs w:val="16"/>
        </w:rPr>
        <w:footnoteRef/>
      </w:r>
      <w:r w:rsidRPr="00C82EA5">
        <w:rPr>
          <w:rFonts w:ascii="Open Sans Light" w:hAnsi="Open Sans Light" w:cs="Open Sans Light"/>
          <w:sz w:val="16"/>
          <w:szCs w:val="16"/>
        </w:rPr>
        <w:t xml:space="preserve"> Ocena będzie prowadzona rozłącznie w odniesieniu do każdej z dwóch ww. zasad: zasady równości szans i niedyskryminacji oraz zasady równości kobiet i mężczyzn. Oddzielnie sprawdzane jest wypełnienie wszystkich poniższych warunków:</w:t>
      </w:r>
    </w:p>
    <w:p w14:paraId="1047922A" w14:textId="77777777" w:rsidR="0061248F" w:rsidRPr="00C82EA5" w:rsidRDefault="0061248F" w:rsidP="00BF5A0F">
      <w:pPr>
        <w:pStyle w:val="Tekstprzypisudolnego"/>
        <w:spacing w:line="276" w:lineRule="auto"/>
        <w:rPr>
          <w:rFonts w:ascii="Open Sans Light" w:hAnsi="Open Sans Light" w:cs="Open Sans Light"/>
          <w:sz w:val="16"/>
          <w:szCs w:val="16"/>
        </w:rPr>
      </w:pPr>
      <w:r w:rsidRPr="00C82EA5">
        <w:rPr>
          <w:rFonts w:ascii="Open Sans Light" w:hAnsi="Open Sans Light" w:cs="Open Sans Light"/>
          <w:sz w:val="16"/>
          <w:szCs w:val="16"/>
        </w:rPr>
        <w:t>1) Wnioskodawca wykazał, że projekt będzie miał pozytywny wpływ na zasadę równości szans i niedyskryminacji, w tym dostępności dla osób z niepełnoprawnościami. Przez pozytywny wpływ należy rozumieć zapewnienie dostępności infrastruktury, środków transportu, towarów, usług, technologii i systemów informacyjno-komunikacyjnych oraz wszelkich produktów projektów (w tym także usług), które nie zostały uznane za neutralne, dla wszystkich ich użytkowników/użytkowniczek – zgodnie ze standardami dostępności dla polityki spójności 2021–2027 (zał. nr 2 do ww. Wytycznych).</w:t>
      </w:r>
    </w:p>
    <w:p w14:paraId="24F0EC54" w14:textId="77777777" w:rsidR="0061248F" w:rsidRPr="00C82EA5" w:rsidRDefault="0061248F" w:rsidP="00BF5A0F">
      <w:pPr>
        <w:pStyle w:val="Tekstprzypisudolnego"/>
        <w:spacing w:line="276" w:lineRule="auto"/>
        <w:rPr>
          <w:rFonts w:ascii="Open Sans Light" w:hAnsi="Open Sans Light" w:cs="Open Sans Light"/>
          <w:sz w:val="16"/>
          <w:szCs w:val="16"/>
        </w:rPr>
      </w:pPr>
      <w:r w:rsidRPr="00C82EA5">
        <w:rPr>
          <w:rFonts w:ascii="Open Sans Light" w:hAnsi="Open Sans Light" w:cs="Open Sans Light"/>
          <w:sz w:val="16"/>
          <w:szCs w:val="16"/>
        </w:rPr>
        <w:t xml:space="preserve">W przypadku gdy produkty (usługi) projektu nie mają swoich bezpośrednich użytkowników, dopuszczalne jest uznanie, że mają one charakter neutralny wobec zasady równości szans i niedyskryminacji. W przypadku uznania, że dany produkt (lub usługa) jest neutralny, projekt zawierający ten produkt (lub usługę) może być uznany za zgodny z zasadą równości szans i niedyskryminacji. Uznanie neutralności określonych produktów (usług) projektu nie zwalnia jednak wnioskodawcy ze stosowania standardów dostępności dla realizacji pozostałej części projektu, dla której standardy dostępności mają zastosowanie. </w:t>
      </w:r>
    </w:p>
    <w:p w14:paraId="70CDEC46" w14:textId="20A63FF9" w:rsidR="0061248F" w:rsidRPr="00C82EA5" w:rsidRDefault="0061248F" w:rsidP="00BF5A0F">
      <w:pPr>
        <w:pStyle w:val="Tekstprzypisudolnego"/>
        <w:spacing w:line="276" w:lineRule="auto"/>
        <w:rPr>
          <w:rFonts w:ascii="Open Sans Light" w:hAnsi="Open Sans Light" w:cs="Open Sans Light"/>
          <w:sz w:val="16"/>
          <w:szCs w:val="16"/>
        </w:rPr>
      </w:pPr>
      <w:r w:rsidRPr="00C82EA5">
        <w:rPr>
          <w:rFonts w:ascii="Open Sans Light" w:hAnsi="Open Sans Light" w:cs="Open Sans Light"/>
          <w:sz w:val="16"/>
          <w:szCs w:val="16"/>
        </w:rPr>
        <w:t>2)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303F5FB3" w14:textId="26EE3630" w:rsidR="0061248F" w:rsidRDefault="0061248F" w:rsidP="00BF5A0F">
      <w:pPr>
        <w:pStyle w:val="Tekstprzypisudolnego"/>
        <w:spacing w:line="276" w:lineRule="auto"/>
      </w:pPr>
      <w:r w:rsidRPr="00C82EA5">
        <w:rPr>
          <w:rFonts w:ascii="Open Sans Light" w:hAnsi="Open Sans Light" w:cs="Open Sans Light"/>
          <w:sz w:val="16"/>
          <w:szCs w:val="16"/>
        </w:rPr>
        <w:t>W przypadku, gdy we wniosku o dofinansowanie projektu wnioskodawca uzasadni, dlaczego dany projekt nie jest w stanie zrealizować jakichkolwiek działań w zakresie spełnienia ww. zasady, a uzasadnienie to zostanie uznane przez instytucję oceniającą projekt za adekwatne i wystarczające, projekt może zostać uznany za neutralny.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C5F89"/>
    <w:multiLevelType w:val="hybridMultilevel"/>
    <w:tmpl w:val="98E4D71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BF5A11"/>
    <w:multiLevelType w:val="hybridMultilevel"/>
    <w:tmpl w:val="F0CC59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2C3D4FB5"/>
    <w:multiLevelType w:val="hybridMultilevel"/>
    <w:tmpl w:val="73866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73A301B"/>
    <w:multiLevelType w:val="hybridMultilevel"/>
    <w:tmpl w:val="6D6AD5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95F047C"/>
    <w:multiLevelType w:val="hybridMultilevel"/>
    <w:tmpl w:val="C07019A2"/>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7B7C05D1"/>
    <w:multiLevelType w:val="hybridMultilevel"/>
    <w:tmpl w:val="452E6078"/>
    <w:lvl w:ilvl="0" w:tplc="A89E1E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76678058">
    <w:abstractNumId w:val="0"/>
  </w:num>
  <w:num w:numId="2" w16cid:durableId="1031803429">
    <w:abstractNumId w:val="1"/>
  </w:num>
  <w:num w:numId="3" w16cid:durableId="541095141">
    <w:abstractNumId w:val="2"/>
  </w:num>
  <w:num w:numId="4" w16cid:durableId="817913783">
    <w:abstractNumId w:val="3"/>
  </w:num>
  <w:num w:numId="5" w16cid:durableId="13218884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1495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3A"/>
    <w:rsid w:val="00006B59"/>
    <w:rsid w:val="000113BC"/>
    <w:rsid w:val="0002343B"/>
    <w:rsid w:val="00024EA5"/>
    <w:rsid w:val="0004561B"/>
    <w:rsid w:val="00060E09"/>
    <w:rsid w:val="000912AE"/>
    <w:rsid w:val="00092350"/>
    <w:rsid w:val="00096F2E"/>
    <w:rsid w:val="000A3CBD"/>
    <w:rsid w:val="000B0232"/>
    <w:rsid w:val="000B1734"/>
    <w:rsid w:val="000C2C51"/>
    <w:rsid w:val="000C4571"/>
    <w:rsid w:val="000C666A"/>
    <w:rsid w:val="000E11B5"/>
    <w:rsid w:val="000E751B"/>
    <w:rsid w:val="000F4D3F"/>
    <w:rsid w:val="000F696D"/>
    <w:rsid w:val="000F70E2"/>
    <w:rsid w:val="00100545"/>
    <w:rsid w:val="00114F62"/>
    <w:rsid w:val="00134DAE"/>
    <w:rsid w:val="0015303A"/>
    <w:rsid w:val="0015740C"/>
    <w:rsid w:val="001770C1"/>
    <w:rsid w:val="00177954"/>
    <w:rsid w:val="00182783"/>
    <w:rsid w:val="00183067"/>
    <w:rsid w:val="001870A1"/>
    <w:rsid w:val="001A3B4A"/>
    <w:rsid w:val="001A3FA0"/>
    <w:rsid w:val="001B5B7B"/>
    <w:rsid w:val="001C0697"/>
    <w:rsid w:val="001C2755"/>
    <w:rsid w:val="001C3839"/>
    <w:rsid w:val="001D4C20"/>
    <w:rsid w:val="001F35D3"/>
    <w:rsid w:val="00202DA0"/>
    <w:rsid w:val="002252E5"/>
    <w:rsid w:val="00234B03"/>
    <w:rsid w:val="00246BD2"/>
    <w:rsid w:val="00251024"/>
    <w:rsid w:val="00265B3C"/>
    <w:rsid w:val="00267501"/>
    <w:rsid w:val="00271A9A"/>
    <w:rsid w:val="00285B09"/>
    <w:rsid w:val="00290DB2"/>
    <w:rsid w:val="002A1FBE"/>
    <w:rsid w:val="002A2114"/>
    <w:rsid w:val="002A3E5A"/>
    <w:rsid w:val="002B7974"/>
    <w:rsid w:val="002D14D0"/>
    <w:rsid w:val="002E07FB"/>
    <w:rsid w:val="002E1DB8"/>
    <w:rsid w:val="002E3A94"/>
    <w:rsid w:val="002E4701"/>
    <w:rsid w:val="002F0E8A"/>
    <w:rsid w:val="0032105E"/>
    <w:rsid w:val="00325E56"/>
    <w:rsid w:val="0033620F"/>
    <w:rsid w:val="00337202"/>
    <w:rsid w:val="003428FD"/>
    <w:rsid w:val="00353C0E"/>
    <w:rsid w:val="00357634"/>
    <w:rsid w:val="00362885"/>
    <w:rsid w:val="00374AAF"/>
    <w:rsid w:val="00376AB3"/>
    <w:rsid w:val="003810D4"/>
    <w:rsid w:val="003956FC"/>
    <w:rsid w:val="003A082E"/>
    <w:rsid w:val="003A111D"/>
    <w:rsid w:val="003B1B92"/>
    <w:rsid w:val="003C75D4"/>
    <w:rsid w:val="003F7830"/>
    <w:rsid w:val="003F78FC"/>
    <w:rsid w:val="00401AEB"/>
    <w:rsid w:val="004172BD"/>
    <w:rsid w:val="00424A5B"/>
    <w:rsid w:val="004322A0"/>
    <w:rsid w:val="00434521"/>
    <w:rsid w:val="00440487"/>
    <w:rsid w:val="00461D1F"/>
    <w:rsid w:val="0046552B"/>
    <w:rsid w:val="004730ED"/>
    <w:rsid w:val="00473A30"/>
    <w:rsid w:val="00475E30"/>
    <w:rsid w:val="00484D1F"/>
    <w:rsid w:val="00494BF3"/>
    <w:rsid w:val="004A09D4"/>
    <w:rsid w:val="004A1BA1"/>
    <w:rsid w:val="004B4148"/>
    <w:rsid w:val="004B4534"/>
    <w:rsid w:val="004B5D7D"/>
    <w:rsid w:val="004D1209"/>
    <w:rsid w:val="004D60BA"/>
    <w:rsid w:val="004E703C"/>
    <w:rsid w:val="004F15FE"/>
    <w:rsid w:val="004F4279"/>
    <w:rsid w:val="004F5137"/>
    <w:rsid w:val="004F6343"/>
    <w:rsid w:val="005020FF"/>
    <w:rsid w:val="00506F2E"/>
    <w:rsid w:val="0051715A"/>
    <w:rsid w:val="00526989"/>
    <w:rsid w:val="0053404A"/>
    <w:rsid w:val="005366EE"/>
    <w:rsid w:val="00536F86"/>
    <w:rsid w:val="00545E97"/>
    <w:rsid w:val="00572C38"/>
    <w:rsid w:val="0058413B"/>
    <w:rsid w:val="00586121"/>
    <w:rsid w:val="00595A93"/>
    <w:rsid w:val="00596FA1"/>
    <w:rsid w:val="00597ECC"/>
    <w:rsid w:val="005A52D2"/>
    <w:rsid w:val="005E143B"/>
    <w:rsid w:val="005E3D10"/>
    <w:rsid w:val="005E5804"/>
    <w:rsid w:val="005E7B85"/>
    <w:rsid w:val="005F036E"/>
    <w:rsid w:val="005F5B95"/>
    <w:rsid w:val="006016A3"/>
    <w:rsid w:val="0061248F"/>
    <w:rsid w:val="0061728A"/>
    <w:rsid w:val="00621A07"/>
    <w:rsid w:val="0062221D"/>
    <w:rsid w:val="00623B3A"/>
    <w:rsid w:val="00626E83"/>
    <w:rsid w:val="00630934"/>
    <w:rsid w:val="00652FC8"/>
    <w:rsid w:val="00671DE0"/>
    <w:rsid w:val="00672E9F"/>
    <w:rsid w:val="00687DB4"/>
    <w:rsid w:val="0069450B"/>
    <w:rsid w:val="0069474B"/>
    <w:rsid w:val="006B3106"/>
    <w:rsid w:val="006B5DFE"/>
    <w:rsid w:val="006D01DF"/>
    <w:rsid w:val="006E0834"/>
    <w:rsid w:val="006E0A97"/>
    <w:rsid w:val="006E4A53"/>
    <w:rsid w:val="006E7519"/>
    <w:rsid w:val="006F1F00"/>
    <w:rsid w:val="007069B9"/>
    <w:rsid w:val="0071086C"/>
    <w:rsid w:val="007116E0"/>
    <w:rsid w:val="007400F1"/>
    <w:rsid w:val="0075675C"/>
    <w:rsid w:val="00761031"/>
    <w:rsid w:val="00763E8F"/>
    <w:rsid w:val="0077697B"/>
    <w:rsid w:val="00791862"/>
    <w:rsid w:val="007A03FE"/>
    <w:rsid w:val="007A76D6"/>
    <w:rsid w:val="007E074D"/>
    <w:rsid w:val="007F4A6C"/>
    <w:rsid w:val="00800C95"/>
    <w:rsid w:val="00802A07"/>
    <w:rsid w:val="00813116"/>
    <w:rsid w:val="00814569"/>
    <w:rsid w:val="00830A68"/>
    <w:rsid w:val="008369E0"/>
    <w:rsid w:val="00840C65"/>
    <w:rsid w:val="00844250"/>
    <w:rsid w:val="00854795"/>
    <w:rsid w:val="008612D8"/>
    <w:rsid w:val="00861910"/>
    <w:rsid w:val="008863E3"/>
    <w:rsid w:val="00890363"/>
    <w:rsid w:val="008A092E"/>
    <w:rsid w:val="008B1AF2"/>
    <w:rsid w:val="008B3962"/>
    <w:rsid w:val="008B73BC"/>
    <w:rsid w:val="008C2220"/>
    <w:rsid w:val="008D3B26"/>
    <w:rsid w:val="008D44CC"/>
    <w:rsid w:val="008E489E"/>
    <w:rsid w:val="008F036C"/>
    <w:rsid w:val="009123A4"/>
    <w:rsid w:val="00912CDC"/>
    <w:rsid w:val="00920E30"/>
    <w:rsid w:val="00923DE8"/>
    <w:rsid w:val="00926276"/>
    <w:rsid w:val="00963467"/>
    <w:rsid w:val="0097248A"/>
    <w:rsid w:val="00977D75"/>
    <w:rsid w:val="00983D0A"/>
    <w:rsid w:val="00986685"/>
    <w:rsid w:val="00990C5C"/>
    <w:rsid w:val="009918E5"/>
    <w:rsid w:val="009A01F9"/>
    <w:rsid w:val="009A4506"/>
    <w:rsid w:val="009A6383"/>
    <w:rsid w:val="009B4DA0"/>
    <w:rsid w:val="009B5128"/>
    <w:rsid w:val="009B5788"/>
    <w:rsid w:val="009B59BE"/>
    <w:rsid w:val="009C548C"/>
    <w:rsid w:val="009D3DA7"/>
    <w:rsid w:val="009E0F64"/>
    <w:rsid w:val="009F69B6"/>
    <w:rsid w:val="00A053A8"/>
    <w:rsid w:val="00A05812"/>
    <w:rsid w:val="00A14095"/>
    <w:rsid w:val="00A20D12"/>
    <w:rsid w:val="00A27ED5"/>
    <w:rsid w:val="00A349AD"/>
    <w:rsid w:val="00A40D82"/>
    <w:rsid w:val="00A44667"/>
    <w:rsid w:val="00A57696"/>
    <w:rsid w:val="00A8537C"/>
    <w:rsid w:val="00A95DA0"/>
    <w:rsid w:val="00AA18C0"/>
    <w:rsid w:val="00AA38F7"/>
    <w:rsid w:val="00AA60DD"/>
    <w:rsid w:val="00AC4E9B"/>
    <w:rsid w:val="00AD04CC"/>
    <w:rsid w:val="00AE655D"/>
    <w:rsid w:val="00B253C8"/>
    <w:rsid w:val="00B36387"/>
    <w:rsid w:val="00B5566C"/>
    <w:rsid w:val="00B57DD5"/>
    <w:rsid w:val="00B60643"/>
    <w:rsid w:val="00B64224"/>
    <w:rsid w:val="00B6515F"/>
    <w:rsid w:val="00B74CF0"/>
    <w:rsid w:val="00B80B9E"/>
    <w:rsid w:val="00B84CEA"/>
    <w:rsid w:val="00B904CF"/>
    <w:rsid w:val="00BA094E"/>
    <w:rsid w:val="00BA2961"/>
    <w:rsid w:val="00BA6310"/>
    <w:rsid w:val="00BB40DD"/>
    <w:rsid w:val="00BD23E1"/>
    <w:rsid w:val="00BD79C2"/>
    <w:rsid w:val="00BE1119"/>
    <w:rsid w:val="00BE1BF6"/>
    <w:rsid w:val="00BE48C6"/>
    <w:rsid w:val="00BF5A0F"/>
    <w:rsid w:val="00BF7372"/>
    <w:rsid w:val="00C00D9E"/>
    <w:rsid w:val="00C0624D"/>
    <w:rsid w:val="00C204D2"/>
    <w:rsid w:val="00C217B3"/>
    <w:rsid w:val="00C30267"/>
    <w:rsid w:val="00C304A5"/>
    <w:rsid w:val="00C309CA"/>
    <w:rsid w:val="00C32C10"/>
    <w:rsid w:val="00C43E90"/>
    <w:rsid w:val="00C44A17"/>
    <w:rsid w:val="00C509BD"/>
    <w:rsid w:val="00C52949"/>
    <w:rsid w:val="00C6180E"/>
    <w:rsid w:val="00C70D6A"/>
    <w:rsid w:val="00C724B7"/>
    <w:rsid w:val="00C75B84"/>
    <w:rsid w:val="00C81167"/>
    <w:rsid w:val="00C82EA5"/>
    <w:rsid w:val="00CA3E30"/>
    <w:rsid w:val="00CD2638"/>
    <w:rsid w:val="00CD312D"/>
    <w:rsid w:val="00CD3A28"/>
    <w:rsid w:val="00CD7B3D"/>
    <w:rsid w:val="00CE2F63"/>
    <w:rsid w:val="00CE3A63"/>
    <w:rsid w:val="00CE5C1B"/>
    <w:rsid w:val="00CE789F"/>
    <w:rsid w:val="00CF1CFB"/>
    <w:rsid w:val="00D0364F"/>
    <w:rsid w:val="00D21D1F"/>
    <w:rsid w:val="00D24F6C"/>
    <w:rsid w:val="00D265D0"/>
    <w:rsid w:val="00D30606"/>
    <w:rsid w:val="00D3144F"/>
    <w:rsid w:val="00D47B2F"/>
    <w:rsid w:val="00D50A87"/>
    <w:rsid w:val="00D513E1"/>
    <w:rsid w:val="00D55A53"/>
    <w:rsid w:val="00D74CA4"/>
    <w:rsid w:val="00D76ABE"/>
    <w:rsid w:val="00D80006"/>
    <w:rsid w:val="00D967DA"/>
    <w:rsid w:val="00D9695D"/>
    <w:rsid w:val="00DA50D9"/>
    <w:rsid w:val="00DA5316"/>
    <w:rsid w:val="00DB4E4F"/>
    <w:rsid w:val="00DC3A79"/>
    <w:rsid w:val="00DD5055"/>
    <w:rsid w:val="00DE1873"/>
    <w:rsid w:val="00DE38A2"/>
    <w:rsid w:val="00DF1A5B"/>
    <w:rsid w:val="00DF1D02"/>
    <w:rsid w:val="00DF5637"/>
    <w:rsid w:val="00DF6DE0"/>
    <w:rsid w:val="00E37C0D"/>
    <w:rsid w:val="00E415F0"/>
    <w:rsid w:val="00E42F3A"/>
    <w:rsid w:val="00E5311D"/>
    <w:rsid w:val="00E63760"/>
    <w:rsid w:val="00E755FC"/>
    <w:rsid w:val="00E77A8B"/>
    <w:rsid w:val="00E966DA"/>
    <w:rsid w:val="00E96C29"/>
    <w:rsid w:val="00EB3622"/>
    <w:rsid w:val="00EC1436"/>
    <w:rsid w:val="00EC2830"/>
    <w:rsid w:val="00EC31B2"/>
    <w:rsid w:val="00ED221C"/>
    <w:rsid w:val="00EE03E0"/>
    <w:rsid w:val="00EE26CB"/>
    <w:rsid w:val="00EE63D0"/>
    <w:rsid w:val="00EF292C"/>
    <w:rsid w:val="00EF449A"/>
    <w:rsid w:val="00F001EE"/>
    <w:rsid w:val="00F00319"/>
    <w:rsid w:val="00F11F3A"/>
    <w:rsid w:val="00F13376"/>
    <w:rsid w:val="00F163F9"/>
    <w:rsid w:val="00F219A0"/>
    <w:rsid w:val="00F2676A"/>
    <w:rsid w:val="00F32885"/>
    <w:rsid w:val="00F331C9"/>
    <w:rsid w:val="00F43A46"/>
    <w:rsid w:val="00F43B01"/>
    <w:rsid w:val="00F50F53"/>
    <w:rsid w:val="00F52796"/>
    <w:rsid w:val="00F55A36"/>
    <w:rsid w:val="00F56BBD"/>
    <w:rsid w:val="00F61B2E"/>
    <w:rsid w:val="00F83A90"/>
    <w:rsid w:val="00F84494"/>
    <w:rsid w:val="00F92B7B"/>
    <w:rsid w:val="00F94020"/>
    <w:rsid w:val="00FB39C2"/>
    <w:rsid w:val="00FC1613"/>
    <w:rsid w:val="00FC1CD4"/>
    <w:rsid w:val="00FC3FCD"/>
    <w:rsid w:val="00FF1888"/>
    <w:rsid w:val="00FF4A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D975660"/>
  <w15:docId w15:val="{79E91076-52FA-4511-B971-8B5EFD738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303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semiHidden/>
    <w:rsid w:val="0015303A"/>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semiHidden/>
    <w:rsid w:val="0015303A"/>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15303A"/>
    <w:rPr>
      <w:rFonts w:cs="Times New Roman"/>
      <w:vertAlign w:val="superscript"/>
    </w:rPr>
  </w:style>
  <w:style w:type="paragraph" w:styleId="Tekstkomentarza">
    <w:name w:val="annotation text"/>
    <w:basedOn w:val="Normalny"/>
    <w:link w:val="TekstkomentarzaZnak"/>
    <w:rsid w:val="0015303A"/>
    <w:rPr>
      <w:sz w:val="20"/>
      <w:szCs w:val="20"/>
    </w:rPr>
  </w:style>
  <w:style w:type="character" w:customStyle="1" w:styleId="TekstkomentarzaZnak">
    <w:name w:val="Tekst komentarza Znak"/>
    <w:basedOn w:val="Domylnaczcionkaakapitu"/>
    <w:link w:val="Tekstkomentarza"/>
    <w:rsid w:val="0015303A"/>
    <w:rPr>
      <w:rFonts w:ascii="Times New Roman" w:eastAsia="Times New Roman" w:hAnsi="Times New Roman" w:cs="Times New Roman"/>
      <w:sz w:val="20"/>
      <w:szCs w:val="20"/>
      <w:lang w:eastAsia="pl-PL"/>
    </w:rPr>
  </w:style>
  <w:style w:type="character" w:styleId="Odwoaniedokomentarza">
    <w:name w:val="annotation reference"/>
    <w:semiHidden/>
    <w:rsid w:val="0015303A"/>
    <w:rPr>
      <w:sz w:val="16"/>
      <w:szCs w:val="16"/>
    </w:rPr>
  </w:style>
  <w:style w:type="paragraph" w:styleId="Tekstdymka">
    <w:name w:val="Balloon Text"/>
    <w:basedOn w:val="Normalny"/>
    <w:link w:val="TekstdymkaZnak"/>
    <w:uiPriority w:val="99"/>
    <w:semiHidden/>
    <w:unhideWhenUsed/>
    <w:rsid w:val="001530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303A"/>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B5B7B"/>
    <w:rPr>
      <w:b/>
      <w:bCs/>
    </w:rPr>
  </w:style>
  <w:style w:type="character" w:customStyle="1" w:styleId="TematkomentarzaZnak">
    <w:name w:val="Temat komentarza Znak"/>
    <w:basedOn w:val="TekstkomentarzaZnak"/>
    <w:link w:val="Tematkomentarza"/>
    <w:uiPriority w:val="99"/>
    <w:semiHidden/>
    <w:rsid w:val="001B5B7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D04CC"/>
    <w:pPr>
      <w:tabs>
        <w:tab w:val="center" w:pos="4536"/>
        <w:tab w:val="right" w:pos="9072"/>
      </w:tabs>
    </w:pPr>
  </w:style>
  <w:style w:type="character" w:customStyle="1" w:styleId="NagwekZnak">
    <w:name w:val="Nagłówek Znak"/>
    <w:basedOn w:val="Domylnaczcionkaakapitu"/>
    <w:link w:val="Nagwek"/>
    <w:uiPriority w:val="99"/>
    <w:rsid w:val="00AD04C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D04CC"/>
    <w:pPr>
      <w:tabs>
        <w:tab w:val="center" w:pos="4536"/>
        <w:tab w:val="right" w:pos="9072"/>
      </w:tabs>
    </w:pPr>
  </w:style>
  <w:style w:type="character" w:customStyle="1" w:styleId="StopkaZnak">
    <w:name w:val="Stopka Znak"/>
    <w:basedOn w:val="Domylnaczcionkaakapitu"/>
    <w:link w:val="Stopka"/>
    <w:uiPriority w:val="99"/>
    <w:rsid w:val="00AD04CC"/>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802A07"/>
    <w:pPr>
      <w:ind w:left="720"/>
      <w:contextualSpacing/>
    </w:pPr>
  </w:style>
  <w:style w:type="paragraph" w:styleId="Poprawka">
    <w:name w:val="Revision"/>
    <w:hidden/>
    <w:uiPriority w:val="99"/>
    <w:semiHidden/>
    <w:rsid w:val="0032105E"/>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629532">
      <w:bodyDiv w:val="1"/>
      <w:marLeft w:val="0"/>
      <w:marRight w:val="0"/>
      <w:marTop w:val="0"/>
      <w:marBottom w:val="0"/>
      <w:divBdr>
        <w:top w:val="none" w:sz="0" w:space="0" w:color="auto"/>
        <w:left w:val="none" w:sz="0" w:space="0" w:color="auto"/>
        <w:bottom w:val="none" w:sz="0" w:space="0" w:color="auto"/>
        <w:right w:val="none" w:sz="0" w:space="0" w:color="auto"/>
      </w:divBdr>
    </w:div>
    <w:div w:id="20138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00593-A2A6-4DA7-8740-0CBA122BC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12</Pages>
  <Words>1943</Words>
  <Characters>11661</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Lista oceny formalno technicznej</vt:lpstr>
    </vt:vector>
  </TitlesOfParts>
  <Company>NFOSiGW</Company>
  <LinksUpToDate>false</LinksUpToDate>
  <CharactersWithSpaces>13577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oceny formalno technicznej</dc:title>
  <dc:creator>Jakubowska Anna</dc:creator>
  <cp:lastModifiedBy>Miłoszewski Konrad</cp:lastModifiedBy>
  <cp:revision>54</cp:revision>
  <cp:lastPrinted>2016-04-11T09:12:00Z</cp:lastPrinted>
  <dcterms:created xsi:type="dcterms:W3CDTF">2023-07-19T11:47:00Z</dcterms:created>
  <dcterms:modified xsi:type="dcterms:W3CDTF">2025-03-03T08:37:00Z</dcterms:modified>
</cp:coreProperties>
</file>